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Analyse qualitative thématique</w:t>
      </w:r>
    </w:p>
    <w:p>
      <w:pPr>
        <w:jc w:val="center"/>
      </w:pPr>
      <w:r>
        <w:rPr>
          <w:b/>
          <w:sz w:val="28"/>
        </w:rPr>
        <w:t>Projet ACF « RESEAU-Femmes » — Côte d'Ivoire (région du Tchologo et Abidjan)</w:t>
      </w:r>
    </w:p>
    <w:p>
      <w:pPr>
        <w:jc w:val="center"/>
      </w:pPr>
      <w:r>
        <w:t>Codage thématique de 1110 réponses transcrites issues de 53 entretiens (7 guides)</w:t>
      </w:r>
    </w:p>
    <w:p>
      <w:pPr>
        <w:jc w:val="center"/>
      </w:pPr>
      <w:r>
        <w:rPr>
          <w:i/>
        </w:rPr>
        <w:t>Généré automatiquement le 19/09/2026</w:t>
      </w:r>
    </w:p>
    <w:p>
      <w:r>
        <w:br w:type="page"/>
      </w:r>
    </w:p>
    <w:p>
      <w:pPr>
        <w:pStyle w:val="Heading1"/>
      </w:pPr>
      <w:r>
        <w:t>1. Méthodologie</w:t>
      </w:r>
    </w:p>
    <w:p>
      <w:r>
        <w:rPr>
          <w:b w:val="0"/>
          <w:i w:val="0"/>
        </w:rPr>
        <w:t>Cette analyse applique une démarche de codage thématique (codage qualitatif tel que pratiqué avec des logiciels comme NVivo, QualCoder ou Taguette) aux réponses audio transcrites des entretiens du formulaire « reseau_femmes_outil_v1 ». La grille de codes (« codebook ») a été construite selon une approche mixte : un socle déductif dérivé des thématiques structurant les 7 guides d'entretien, enrichi par une lecture inductive d'un échantillon de réponses réelles pour capter des thèmes émergents (ex. contrôle masculin des ressources, mécanismes traditionnels de résolution des conflits, effets du changement climatique).</w:t>
      </w:r>
    </w:p>
    <w:p>
      <w:r>
        <w:rPr>
          <w:b w:val="0"/>
          <w:i w:val="0"/>
        </w:rPr>
        <w:t>Le codage a été appliqué de façon systématique à l'ensemble du corpus (1110 réponses) à l'aide de 7 passes de codage assistées par IA (une par guide d'entretien), chacune appliquant strictement la même grille de 27 codes répartis en 6 catégories thématiques, ce qui garantit une terminologie cohérente d'un guide à l'autre.</w:t>
      </w:r>
    </w:p>
    <w:p>
      <w:pPr>
        <w:pStyle w:val="Heading2"/>
      </w:pPr>
      <w:r>
        <w:t>1.1 Échantillon</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Guide d'entretien</w:t>
            </w:r>
          </w:p>
        </w:tc>
        <w:tc>
          <w:tcPr>
            <w:tcW w:type="dxa" w:w="2880"/>
          </w:tcPr>
          <w:p>
            <w:r>
              <w:rPr>
                <w:b/>
              </w:rPr>
              <w:t>Entretiens</w:t>
            </w:r>
          </w:p>
        </w:tc>
        <w:tc>
          <w:tcPr>
            <w:tcW w:type="dxa" w:w="2880"/>
          </w:tcPr>
          <w:p>
            <w:r>
              <w:rPr>
                <w:b/>
              </w:rPr>
              <w:t>Réponses codées</w:t>
            </w:r>
          </w:p>
        </w:tc>
      </w:tr>
      <w:tr>
        <w:tc>
          <w:tcPr>
            <w:tcW w:type="dxa" w:w="2880"/>
          </w:tcPr>
          <w:p>
            <w:r>
              <w:t>01 – Guide d'entretien national Abidjan (Acteurs institutionnels natio</w:t>
            </w:r>
          </w:p>
        </w:tc>
        <w:tc>
          <w:tcPr>
            <w:tcW w:type="dxa" w:w="2880"/>
          </w:tcPr>
          <w:p>
            <w:r>
              <w:t>7</w:t>
            </w:r>
          </w:p>
        </w:tc>
        <w:tc>
          <w:tcPr>
            <w:tcW w:type="dxa" w:w="2880"/>
          </w:tcPr>
          <w:p>
            <w:r>
              <w:t>141</w:t>
            </w:r>
          </w:p>
        </w:tc>
      </w:tr>
      <w:tr>
        <w:tc>
          <w:tcPr>
            <w:tcW w:type="dxa" w:w="2880"/>
          </w:tcPr>
          <w:p>
            <w:r>
              <w:t>02 – Guide d'entretien local Tchologo (Autorités régionales, collectiv</w:t>
            </w:r>
          </w:p>
        </w:tc>
        <w:tc>
          <w:tcPr>
            <w:tcW w:type="dxa" w:w="2880"/>
          </w:tcPr>
          <w:p>
            <w:r>
              <w:t>15</w:t>
            </w:r>
          </w:p>
        </w:tc>
        <w:tc>
          <w:tcPr>
            <w:tcW w:type="dxa" w:w="2880"/>
          </w:tcPr>
          <w:p>
            <w:r>
              <w:t>366</w:t>
            </w:r>
          </w:p>
        </w:tc>
      </w:tr>
      <w:tr>
        <w:tc>
          <w:tcPr>
            <w:tcW w:type="dxa" w:w="2880"/>
          </w:tcPr>
          <w:p>
            <w:r>
              <w:t>03 – Guide d'entretien prestataires santé (Responsables et prestataire</w:t>
            </w:r>
          </w:p>
        </w:tc>
        <w:tc>
          <w:tcPr>
            <w:tcW w:type="dxa" w:w="2880"/>
          </w:tcPr>
          <w:p>
            <w:r>
              <w:t>14</w:t>
            </w:r>
          </w:p>
        </w:tc>
        <w:tc>
          <w:tcPr>
            <w:tcW w:type="dxa" w:w="2880"/>
          </w:tcPr>
          <w:p>
            <w:r>
              <w:t>276</w:t>
            </w:r>
          </w:p>
        </w:tc>
      </w:tr>
      <w:tr>
        <w:tc>
          <w:tcPr>
            <w:tcW w:type="dxa" w:w="2880"/>
          </w:tcPr>
          <w:p>
            <w:r>
              <w:t>04 – Guide d'entretien guichets protection sociale (Responsables des g</w:t>
            </w:r>
          </w:p>
        </w:tc>
        <w:tc>
          <w:tcPr>
            <w:tcW w:type="dxa" w:w="2880"/>
          </w:tcPr>
          <w:p>
            <w:r>
              <w:t>3</w:t>
            </w:r>
          </w:p>
        </w:tc>
        <w:tc>
          <w:tcPr>
            <w:tcW w:type="dxa" w:w="2880"/>
          </w:tcPr>
          <w:p>
            <w:r>
              <w:t>59</w:t>
            </w:r>
          </w:p>
        </w:tc>
      </w:tr>
      <w:tr>
        <w:tc>
          <w:tcPr>
            <w:tcW w:type="dxa" w:w="2880"/>
          </w:tcPr>
          <w:p>
            <w:r>
              <w:t>05 – Guide d'entretien organisations et coopératives (Organisations et</w:t>
            </w:r>
          </w:p>
        </w:tc>
        <w:tc>
          <w:tcPr>
            <w:tcW w:type="dxa" w:w="2880"/>
          </w:tcPr>
          <w:p>
            <w:r>
              <w:t>8</w:t>
            </w:r>
          </w:p>
        </w:tc>
        <w:tc>
          <w:tcPr>
            <w:tcW w:type="dxa" w:w="2880"/>
          </w:tcPr>
          <w:p>
            <w:r>
              <w:t>164</w:t>
            </w:r>
          </w:p>
        </w:tc>
      </w:tr>
      <w:tr>
        <w:tc>
          <w:tcPr>
            <w:tcW w:type="dxa" w:w="2880"/>
          </w:tcPr>
          <w:p>
            <w:r>
              <w:t xml:space="preserve">06 – Guide d'entretien OSC plaidoyer (OSC, organisations de femmes et </w:t>
            </w:r>
          </w:p>
        </w:tc>
        <w:tc>
          <w:tcPr>
            <w:tcW w:type="dxa" w:w="2880"/>
          </w:tcPr>
          <w:p>
            <w:r>
              <w:t>1</w:t>
            </w:r>
          </w:p>
        </w:tc>
        <w:tc>
          <w:tcPr>
            <w:tcW w:type="dxa" w:w="2880"/>
          </w:tcPr>
          <w:p>
            <w:r>
              <w:t>20</w:t>
            </w:r>
          </w:p>
        </w:tc>
      </w:tr>
      <w:tr>
        <w:tc>
          <w:tcPr>
            <w:tcW w:type="dxa" w:w="2880"/>
          </w:tcPr>
          <w:p>
            <w:r>
              <w:t>07 – Guide d'entretien leaders communautaires (Leaders communautaires,</w:t>
            </w:r>
          </w:p>
        </w:tc>
        <w:tc>
          <w:tcPr>
            <w:tcW w:type="dxa" w:w="2880"/>
          </w:tcPr>
          <w:p>
            <w:r>
              <w:t>5</w:t>
            </w:r>
          </w:p>
        </w:tc>
        <w:tc>
          <w:tcPr>
            <w:tcW w:type="dxa" w:w="2880"/>
          </w:tcPr>
          <w:p>
            <w:r>
              <w:t>84</w:t>
            </w:r>
          </w:p>
        </w:tc>
      </w:tr>
      <w:tr>
        <w:tc>
          <w:tcPr>
            <w:tcW w:type="dxa" w:w="2880"/>
          </w:tcPr>
          <w:p>
            <w:r>
              <w:t>TOTAL</w:t>
            </w:r>
          </w:p>
        </w:tc>
        <w:tc>
          <w:tcPr>
            <w:tcW w:type="dxa" w:w="2880"/>
          </w:tcPr>
          <w:p>
            <w:r>
              <w:t>53</w:t>
            </w:r>
          </w:p>
        </w:tc>
        <w:tc>
          <w:tcPr>
            <w:tcW w:type="dxa" w:w="2880"/>
          </w:tcPr>
          <w:p>
            <w:r>
              <w:t>1110</w:t>
            </w:r>
          </w:p>
        </w:tc>
      </w:tr>
    </w:tbl>
    <w:p/>
    <w:p>
      <w:pPr>
        <w:pStyle w:val="Heading2"/>
      </w:pPr>
      <w:r>
        <w:t>1.2 Limites méthodologiques</w:t>
      </w:r>
    </w:p>
    <w:p>
      <w:pPr>
        <w:pStyle w:val="ListBullet"/>
      </w:pPr>
      <w:r>
        <w:rPr>
          <w:b/>
          <w:color w:val="B45F06"/>
        </w:rPr>
        <w:t xml:space="preserve">Limite à noter — </w:t>
      </w:r>
      <w:r>
        <w:rPr>
          <w:color w:val="B45F06"/>
        </w:rPr>
        <w:t>Les 53 entretiens actuels constituent la toute première vague de la collecte réelle (démarrée le 14/09/2026) : l'échantillon reste petit et très inégal selon les guides (de 1 entretien pour le guide OSC/plaidoyer à 15 pour le guide Tchologo). Les comparaisons entre guides ou régions sont donc indicatives et ne doivent pas être généralisées avant l'arrivée de davantage de données.</w:t>
      </w:r>
    </w:p>
    <w:p>
      <w:pPr>
        <w:pStyle w:val="ListBullet"/>
      </w:pPr>
      <w:r>
        <w:rPr>
          <w:b/>
          <w:color w:val="B45F06"/>
        </w:rPr>
        <w:t xml:space="preserve">Limite à noter — </w:t>
      </w:r>
      <w:r>
        <w:rPr>
          <w:color w:val="B45F06"/>
        </w:rPr>
        <w:t>Les réponses proviennent d'une transcription automatique (faster-whisper) d'audios en français parlé localement, avec un accent/dialecte prononcé. 130 réponses sur 1110 (11.7%) ont été jugées trop dégradées par la transcription pour être codées avec confiance (code X1_transcription_difficile) — cette proportion varie fortement d'un guide à l'autre (de ~4% à ~31%, voir tableau ci-dessous), en particulier plus élevée pour les enregistrements de certains enquêteurs. Les thèmes présentés ci-après sous-estiment donc probablement leur prévalence réelle.</w:t>
      </w:r>
    </w:p>
    <w:p>
      <w:pPr>
        <w:pStyle w:val="ListBullet"/>
      </w:pPr>
      <w:r>
        <w:rPr>
          <w:b/>
          <w:color w:val="B45F06"/>
        </w:rPr>
        <w:t xml:space="preserve">Limite à noter — </w:t>
      </w:r>
      <w:r>
        <w:rPr>
          <w:color w:val="B45F06"/>
        </w:rPr>
        <w:t>Le codage a été réalisé par des agents IA suivant une grille commune, sans double-codage humain ni calcul formel d'accord inter-codeurs. Il est recommandé qu'un membre de l'équipe RESEAU-Femmes relise un échantillon des extraits codés (voir le classeur Excel joint, onglet « Extraits_codés ») pour valider ou ajuster l'attribution des codes avant toute utilisation dans un rapport officiel.</w:t>
      </w:r>
    </w:p>
    <w:p/>
    <w:tbl>
      <w:tblPr>
        <w:tblStyle w:val="LightGrid-Accent1"/>
        <w:tblW w:type="auto" w:w="0"/>
        <w:tblLook w:firstColumn="1" w:firstRow="1" w:lastColumn="0" w:lastRow="0" w:noHBand="0" w:noVBand="1" w:val="04A0"/>
      </w:tblPr>
      <w:tblGrid>
        <w:gridCol w:w="4320"/>
        <w:gridCol w:w="4320"/>
      </w:tblGrid>
      <w:tr>
        <w:tc>
          <w:tcPr>
            <w:tcW w:type="dxa" w:w="4320"/>
          </w:tcPr>
          <w:p>
            <w:r>
              <w:rPr>
                <w:b/>
              </w:rPr>
              <w:t>Guide</w:t>
            </w:r>
          </w:p>
        </w:tc>
        <w:tc>
          <w:tcPr>
            <w:tcW w:type="dxa" w:w="4320"/>
          </w:tcPr>
          <w:p>
            <w:r>
              <w:rPr>
                <w:b/>
              </w:rPr>
              <w:t>% transcription difficile (X1)</w:t>
            </w:r>
          </w:p>
        </w:tc>
      </w:tr>
      <w:tr>
        <w:tc>
          <w:tcPr>
            <w:tcW w:type="dxa" w:w="4320"/>
          </w:tcPr>
          <w:p>
            <w:r>
              <w:t>01 – Guide d'entretien national Abidjan (Acteurs institutionnels natio</w:t>
            </w:r>
          </w:p>
        </w:tc>
        <w:tc>
          <w:tcPr>
            <w:tcW w:type="dxa" w:w="4320"/>
          </w:tcPr>
          <w:p>
            <w:r>
              <w:t>4.3%</w:t>
            </w:r>
          </w:p>
        </w:tc>
      </w:tr>
      <w:tr>
        <w:tc>
          <w:tcPr>
            <w:tcW w:type="dxa" w:w="4320"/>
          </w:tcPr>
          <w:p>
            <w:r>
              <w:t>02 – Guide d'entretien local Tchologo (Autorités régionales, collectiv</w:t>
            </w:r>
          </w:p>
        </w:tc>
        <w:tc>
          <w:tcPr>
            <w:tcW w:type="dxa" w:w="4320"/>
          </w:tcPr>
          <w:p>
            <w:r>
              <w:t>15.0%</w:t>
            </w:r>
          </w:p>
        </w:tc>
      </w:tr>
      <w:tr>
        <w:tc>
          <w:tcPr>
            <w:tcW w:type="dxa" w:w="4320"/>
          </w:tcPr>
          <w:p>
            <w:r>
              <w:t>03 – Guide d'entretien prestataires santé (Responsables et prestataire</w:t>
            </w:r>
          </w:p>
        </w:tc>
        <w:tc>
          <w:tcPr>
            <w:tcW w:type="dxa" w:w="4320"/>
          </w:tcPr>
          <w:p>
            <w:r>
              <w:t>5.4%</w:t>
            </w:r>
          </w:p>
        </w:tc>
      </w:tr>
      <w:tr>
        <w:tc>
          <w:tcPr>
            <w:tcW w:type="dxa" w:w="4320"/>
          </w:tcPr>
          <w:p>
            <w:r>
              <w:t>04 – Guide d'entretien guichets protection sociale (Responsables des g</w:t>
            </w:r>
          </w:p>
        </w:tc>
        <w:tc>
          <w:tcPr>
            <w:tcW w:type="dxa" w:w="4320"/>
          </w:tcPr>
          <w:p>
            <w:r>
              <w:t>11.9%</w:t>
            </w:r>
          </w:p>
        </w:tc>
      </w:tr>
      <w:tr>
        <w:tc>
          <w:tcPr>
            <w:tcW w:type="dxa" w:w="4320"/>
          </w:tcPr>
          <w:p>
            <w:r>
              <w:t>05 – Guide d'entretien organisations et coopératives (Organisations et</w:t>
            </w:r>
          </w:p>
        </w:tc>
        <w:tc>
          <w:tcPr>
            <w:tcW w:type="dxa" w:w="4320"/>
          </w:tcPr>
          <w:p>
            <w:r>
              <w:t>12.2%</w:t>
            </w:r>
          </w:p>
        </w:tc>
      </w:tr>
      <w:tr>
        <w:tc>
          <w:tcPr>
            <w:tcW w:type="dxa" w:w="4320"/>
          </w:tcPr>
          <w:p>
            <w:r>
              <w:t xml:space="preserve">06 – Guide d'entretien OSC plaidoyer (OSC, organisations de femmes et </w:t>
            </w:r>
          </w:p>
        </w:tc>
        <w:tc>
          <w:tcPr>
            <w:tcW w:type="dxa" w:w="4320"/>
          </w:tcPr>
          <w:p>
            <w:r>
              <w:t>5.0%</w:t>
            </w:r>
          </w:p>
        </w:tc>
      </w:tr>
      <w:tr>
        <w:tc>
          <w:tcPr>
            <w:tcW w:type="dxa" w:w="4320"/>
          </w:tcPr>
          <w:p>
            <w:r>
              <w:t>07 – Guide d'entretien leaders communautaires (Leaders communautaires,</w:t>
            </w:r>
          </w:p>
        </w:tc>
        <w:tc>
          <w:tcPr>
            <w:tcW w:type="dxa" w:w="4320"/>
          </w:tcPr>
          <w:p>
            <w:r>
              <w:t>31.0%</w:t>
            </w:r>
          </w:p>
        </w:tc>
      </w:tr>
    </w:tbl>
    <w:p>
      <w:r>
        <w:br w:type="page"/>
      </w:r>
    </w:p>
    <w:p>
      <w:pPr>
        <w:pStyle w:val="Heading1"/>
      </w:pPr>
      <w:r>
        <w:t>2. Vue d'ensemble des thèmes dominants</w:t>
      </w:r>
    </w:p>
    <w:p>
      <w:r>
        <w:rPr>
          <w:b w:val="0"/>
          <w:i w:val="0"/>
        </w:rPr>
        <w:t>Les 15 codes thématiques les plus fréquents (hors codes de qualité de transcription) sur l'ensemble du corpus :</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Code</w:t>
            </w:r>
          </w:p>
        </w:tc>
        <w:tc>
          <w:tcPr>
            <w:tcW w:type="dxa" w:w="2160"/>
          </w:tcPr>
          <w:p>
            <w:r>
              <w:rPr>
                <w:b/>
              </w:rPr>
              <w:t>Catégorie</w:t>
            </w:r>
          </w:p>
        </w:tc>
        <w:tc>
          <w:tcPr>
            <w:tcW w:type="dxa" w:w="2160"/>
          </w:tcPr>
          <w:p>
            <w:r>
              <w:rPr>
                <w:b/>
              </w:rPr>
              <w:t>Nb mentions</w:t>
            </w:r>
          </w:p>
        </w:tc>
        <w:tc>
          <w:tcPr>
            <w:tcW w:type="dxa" w:w="2160"/>
          </w:tcPr>
          <w:p>
            <w:r>
              <w:rPr>
                <w:b/>
              </w:rPr>
              <w:t>Nb entretiens distincts</w:t>
            </w:r>
          </w:p>
        </w:tc>
      </w:tr>
      <w:tr>
        <w:tc>
          <w:tcPr>
            <w:tcW w:type="dxa" w:w="2160"/>
          </w:tcPr>
          <w:p>
            <w:r>
              <w:t>CMU &amp; protection sociale</w:t>
            </w:r>
          </w:p>
        </w:tc>
        <w:tc>
          <w:tcPr>
            <w:tcW w:type="dxa" w:w="2160"/>
          </w:tcPr>
          <w:p>
            <w:r>
              <w:t>Santé &amp; protection sociale</w:t>
            </w:r>
          </w:p>
        </w:tc>
        <w:tc>
          <w:tcPr>
            <w:tcW w:type="dxa" w:w="2160"/>
          </w:tcPr>
          <w:p>
            <w:r>
              <w:t>100</w:t>
            </w:r>
          </w:p>
        </w:tc>
        <w:tc>
          <w:tcPr>
            <w:tcW w:type="dxa" w:w="2160"/>
          </w:tcPr>
          <w:p>
            <w:r>
              <w:t>40</w:t>
            </w:r>
          </w:p>
        </w:tc>
      </w:tr>
      <w:tr>
        <w:tc>
          <w:tcPr>
            <w:tcW w:type="dxa" w:w="2160"/>
          </w:tcPr>
          <w:p>
            <w:r>
              <w:t>Mécanismes de plainte / recours</w:t>
            </w:r>
          </w:p>
        </w:tc>
        <w:tc>
          <w:tcPr>
            <w:tcW w:type="dxa" w:w="2160"/>
          </w:tcPr>
          <w:p>
            <w:r>
              <w:t>Normes, pouvoir &amp; droits</w:t>
            </w:r>
          </w:p>
        </w:tc>
        <w:tc>
          <w:tcPr>
            <w:tcW w:type="dxa" w:w="2160"/>
          </w:tcPr>
          <w:p>
            <w:r>
              <w:t>97</w:t>
            </w:r>
          </w:p>
        </w:tc>
        <w:tc>
          <w:tcPr>
            <w:tcW w:type="dxa" w:w="2160"/>
          </w:tcPr>
          <w:p>
            <w:r>
              <w:t>47</w:t>
            </w:r>
          </w:p>
        </w:tc>
      </w:tr>
      <w:tr>
        <w:tc>
          <w:tcPr>
            <w:tcW w:type="dxa" w:w="2160"/>
          </w:tcPr>
          <w:p>
            <w:r>
              <w:t>Renforcement des capacités</w:t>
            </w:r>
          </w:p>
        </w:tc>
        <w:tc>
          <w:tcPr>
            <w:tcW w:type="dxa" w:w="2160"/>
          </w:tcPr>
          <w:p>
            <w:r>
              <w:t>Capacités, information &amp; bonnes pratiques</w:t>
            </w:r>
          </w:p>
        </w:tc>
        <w:tc>
          <w:tcPr>
            <w:tcW w:type="dxa" w:w="2160"/>
          </w:tcPr>
          <w:p>
            <w:r>
              <w:t>90</w:t>
            </w:r>
          </w:p>
        </w:tc>
        <w:tc>
          <w:tcPr>
            <w:tcW w:type="dxa" w:w="2160"/>
          </w:tcPr>
          <w:p>
            <w:r>
              <w:t>41</w:t>
            </w:r>
          </w:p>
        </w:tc>
      </w:tr>
      <w:tr>
        <w:tc>
          <w:tcPr>
            <w:tcW w:type="dxa" w:w="2160"/>
          </w:tcPr>
          <w:p>
            <w:r>
              <w:t>Accès à l'information / sensibilisation</w:t>
            </w:r>
          </w:p>
        </w:tc>
        <w:tc>
          <w:tcPr>
            <w:tcW w:type="dxa" w:w="2160"/>
          </w:tcPr>
          <w:p>
            <w:r>
              <w:t>Capacités, information &amp; bonnes pratiques</w:t>
            </w:r>
          </w:p>
        </w:tc>
        <w:tc>
          <w:tcPr>
            <w:tcW w:type="dxa" w:w="2160"/>
          </w:tcPr>
          <w:p>
            <w:r>
              <w:t>77</w:t>
            </w:r>
          </w:p>
        </w:tc>
        <w:tc>
          <w:tcPr>
            <w:tcW w:type="dxa" w:w="2160"/>
          </w:tcPr>
          <w:p>
            <w:r>
              <w:t>42</w:t>
            </w:r>
          </w:p>
        </w:tc>
      </w:tr>
      <w:tr>
        <w:tc>
          <w:tcPr>
            <w:tcW w:type="dxa" w:w="2160"/>
          </w:tcPr>
          <w:p>
            <w:r>
              <w:t>Contrôle masculin des ressources/décisions</w:t>
            </w:r>
          </w:p>
        </w:tc>
        <w:tc>
          <w:tcPr>
            <w:tcW w:type="dxa" w:w="2160"/>
          </w:tcPr>
          <w:p>
            <w:r>
              <w:t>Normes, pouvoir &amp; droits</w:t>
            </w:r>
          </w:p>
        </w:tc>
        <w:tc>
          <w:tcPr>
            <w:tcW w:type="dxa" w:w="2160"/>
          </w:tcPr>
          <w:p>
            <w:r>
              <w:t>73</w:t>
            </w:r>
          </w:p>
        </w:tc>
        <w:tc>
          <w:tcPr>
            <w:tcW w:type="dxa" w:w="2160"/>
          </w:tcPr>
          <w:p>
            <w:r>
              <w:t>38</w:t>
            </w:r>
          </w:p>
        </w:tc>
      </w:tr>
      <w:tr>
        <w:tc>
          <w:tcPr>
            <w:tcW w:type="dxa" w:w="2160"/>
          </w:tcPr>
          <w:p>
            <w:r>
              <w:t>Accès au financement</w:t>
            </w:r>
          </w:p>
        </w:tc>
        <w:tc>
          <w:tcPr>
            <w:tcW w:type="dxa" w:w="2160"/>
          </w:tcPr>
          <w:p>
            <w:r>
              <w:t>Économie &amp; moyens de production</w:t>
            </w:r>
          </w:p>
        </w:tc>
        <w:tc>
          <w:tcPr>
            <w:tcW w:type="dxa" w:w="2160"/>
          </w:tcPr>
          <w:p>
            <w:r>
              <w:t>69</w:t>
            </w:r>
          </w:p>
        </w:tc>
        <w:tc>
          <w:tcPr>
            <w:tcW w:type="dxa" w:w="2160"/>
          </w:tcPr>
          <w:p>
            <w:r>
              <w:t>30</w:t>
            </w:r>
          </w:p>
        </w:tc>
      </w:tr>
      <w:tr>
        <w:tc>
          <w:tcPr>
            <w:tcW w:type="dxa" w:w="2160"/>
          </w:tcPr>
          <w:p>
            <w:r>
              <w:t>Priorités et justification</w:t>
            </w:r>
          </w:p>
        </w:tc>
        <w:tc>
          <w:tcPr>
            <w:tcW w:type="dxa" w:w="2160"/>
          </w:tcPr>
          <w:p>
            <w:r>
              <w:t>Acteurs, gouvernance du projet &amp; recommandations</w:t>
            </w:r>
          </w:p>
        </w:tc>
        <w:tc>
          <w:tcPr>
            <w:tcW w:type="dxa" w:w="2160"/>
          </w:tcPr>
          <w:p>
            <w:r>
              <w:t>68</w:t>
            </w:r>
          </w:p>
        </w:tc>
        <w:tc>
          <w:tcPr>
            <w:tcW w:type="dxa" w:w="2160"/>
          </w:tcPr>
          <w:p>
            <w:r>
              <w:t>38</w:t>
            </w:r>
          </w:p>
        </w:tc>
      </w:tr>
      <w:tr>
        <w:tc>
          <w:tcPr>
            <w:tcW w:type="dxa" w:w="2160"/>
          </w:tcPr>
          <w:p>
            <w:r>
              <w:t>Acteurs à associer</w:t>
            </w:r>
          </w:p>
        </w:tc>
        <w:tc>
          <w:tcPr>
            <w:tcW w:type="dxa" w:w="2160"/>
          </w:tcPr>
          <w:p>
            <w:r>
              <w:t>Acteurs, gouvernance du projet &amp; recommandations</w:t>
            </w:r>
          </w:p>
        </w:tc>
        <w:tc>
          <w:tcPr>
            <w:tcW w:type="dxa" w:w="2160"/>
          </w:tcPr>
          <w:p>
            <w:r>
              <w:t>67</w:t>
            </w:r>
          </w:p>
        </w:tc>
        <w:tc>
          <w:tcPr>
            <w:tcW w:type="dxa" w:w="2160"/>
          </w:tcPr>
          <w:p>
            <w:r>
              <w:t>50</w:t>
            </w:r>
          </w:p>
        </w:tc>
      </w:tr>
      <w:tr>
        <w:tc>
          <w:tcPr>
            <w:tcW w:type="dxa" w:w="2160"/>
          </w:tcPr>
          <w:p>
            <w:r>
              <w:t>Participation des femmes à la décision</w:t>
            </w:r>
          </w:p>
        </w:tc>
        <w:tc>
          <w:tcPr>
            <w:tcW w:type="dxa" w:w="2160"/>
          </w:tcPr>
          <w:p>
            <w:r>
              <w:t>Normes, pouvoir &amp; droits</w:t>
            </w:r>
          </w:p>
        </w:tc>
        <w:tc>
          <w:tcPr>
            <w:tcW w:type="dxa" w:w="2160"/>
          </w:tcPr>
          <w:p>
            <w:r>
              <w:t>62</w:t>
            </w:r>
          </w:p>
        </w:tc>
        <w:tc>
          <w:tcPr>
            <w:tcW w:type="dxa" w:w="2160"/>
          </w:tcPr>
          <w:p>
            <w:r>
              <w:t>43</w:t>
            </w:r>
          </w:p>
        </w:tc>
      </w:tr>
      <w:tr>
        <w:tc>
          <w:tcPr>
            <w:tcW w:type="dxa" w:w="2160"/>
          </w:tcPr>
          <w:p>
            <w:r>
              <w:t>Recommandations / suggestions</w:t>
            </w:r>
          </w:p>
        </w:tc>
        <w:tc>
          <w:tcPr>
            <w:tcW w:type="dxa" w:w="2160"/>
          </w:tcPr>
          <w:p>
            <w:r>
              <w:t>Acteurs, gouvernance du projet &amp; recommandations</w:t>
            </w:r>
          </w:p>
        </w:tc>
        <w:tc>
          <w:tcPr>
            <w:tcW w:type="dxa" w:w="2160"/>
          </w:tcPr>
          <w:p>
            <w:r>
              <w:t>61</w:t>
            </w:r>
          </w:p>
        </w:tc>
        <w:tc>
          <w:tcPr>
            <w:tcW w:type="dxa" w:w="2160"/>
          </w:tcPr>
          <w:p>
            <w:r>
              <w:t>44</w:t>
            </w:r>
          </w:p>
        </w:tc>
      </w:tr>
      <w:tr>
        <w:tc>
          <w:tcPr>
            <w:tcW w:type="dxa" w:w="2160"/>
          </w:tcPr>
          <w:p>
            <w:r>
              <w:t>Groupes de femmes vulnérables</w:t>
            </w:r>
          </w:p>
        </w:tc>
        <w:tc>
          <w:tcPr>
            <w:tcW w:type="dxa" w:w="2160"/>
          </w:tcPr>
          <w:p>
            <w:r>
              <w:t>Vulnérabilité &amp; inclusion</w:t>
            </w:r>
          </w:p>
        </w:tc>
        <w:tc>
          <w:tcPr>
            <w:tcW w:type="dxa" w:w="2160"/>
          </w:tcPr>
          <w:p>
            <w:r>
              <w:t>60</w:t>
            </w:r>
          </w:p>
        </w:tc>
        <w:tc>
          <w:tcPr>
            <w:tcW w:type="dxa" w:w="2160"/>
          </w:tcPr>
          <w:p>
            <w:r>
              <w:t>33</w:t>
            </w:r>
          </w:p>
        </w:tc>
      </w:tr>
      <w:tr>
        <w:tc>
          <w:tcPr>
            <w:tcW w:type="dxa" w:w="2160"/>
          </w:tcPr>
          <w:p>
            <w:r>
              <w:t>Droits non respectés</w:t>
            </w:r>
          </w:p>
        </w:tc>
        <w:tc>
          <w:tcPr>
            <w:tcW w:type="dxa" w:w="2160"/>
          </w:tcPr>
          <w:p>
            <w:r>
              <w:t>Normes, pouvoir &amp; droits</w:t>
            </w:r>
          </w:p>
        </w:tc>
        <w:tc>
          <w:tcPr>
            <w:tcW w:type="dxa" w:w="2160"/>
          </w:tcPr>
          <w:p>
            <w:r>
              <w:t>57</w:t>
            </w:r>
          </w:p>
        </w:tc>
        <w:tc>
          <w:tcPr>
            <w:tcW w:type="dxa" w:w="2160"/>
          </w:tcPr>
          <w:p>
            <w:r>
              <w:t>39</w:t>
            </w:r>
          </w:p>
        </w:tc>
      </w:tr>
      <w:tr>
        <w:tc>
          <w:tcPr>
            <w:tcW w:type="dxa" w:w="2160"/>
          </w:tcPr>
          <w:p>
            <w:r>
              <w:t>Barrières d'accès aux soins</w:t>
            </w:r>
          </w:p>
        </w:tc>
        <w:tc>
          <w:tcPr>
            <w:tcW w:type="dxa" w:w="2160"/>
          </w:tcPr>
          <w:p>
            <w:r>
              <w:t>Santé &amp; protection sociale</w:t>
            </w:r>
          </w:p>
        </w:tc>
        <w:tc>
          <w:tcPr>
            <w:tcW w:type="dxa" w:w="2160"/>
          </w:tcPr>
          <w:p>
            <w:r>
              <w:t>56</w:t>
            </w:r>
          </w:p>
        </w:tc>
        <w:tc>
          <w:tcPr>
            <w:tcW w:type="dxa" w:w="2160"/>
          </w:tcPr>
          <w:p>
            <w:r>
              <w:t>42</w:t>
            </w:r>
          </w:p>
        </w:tc>
      </w:tr>
      <w:tr>
        <w:tc>
          <w:tcPr>
            <w:tcW w:type="dxa" w:w="2160"/>
          </w:tcPr>
          <w:p>
            <w:r>
              <w:t>Changement climatique &amp; adaptation</w:t>
            </w:r>
          </w:p>
        </w:tc>
        <w:tc>
          <w:tcPr>
            <w:tcW w:type="dxa" w:w="2160"/>
          </w:tcPr>
          <w:p>
            <w:r>
              <w:t>Économie &amp; moyens de production</w:t>
            </w:r>
          </w:p>
        </w:tc>
        <w:tc>
          <w:tcPr>
            <w:tcW w:type="dxa" w:w="2160"/>
          </w:tcPr>
          <w:p>
            <w:r>
              <w:t>55</w:t>
            </w:r>
          </w:p>
        </w:tc>
        <w:tc>
          <w:tcPr>
            <w:tcW w:type="dxa" w:w="2160"/>
          </w:tcPr>
          <w:p>
            <w:r>
              <w:t>30</w:t>
            </w:r>
          </w:p>
        </w:tc>
      </w:tr>
      <w:tr>
        <w:tc>
          <w:tcPr>
            <w:tcW w:type="dxa" w:w="2160"/>
          </w:tcPr>
          <w:p>
            <w:r>
              <w:t>Accès au foncier</w:t>
            </w:r>
          </w:p>
        </w:tc>
        <w:tc>
          <w:tcPr>
            <w:tcW w:type="dxa" w:w="2160"/>
          </w:tcPr>
          <w:p>
            <w:r>
              <w:t>Économie &amp; moyens de production</w:t>
            </w:r>
          </w:p>
        </w:tc>
        <w:tc>
          <w:tcPr>
            <w:tcW w:type="dxa" w:w="2160"/>
          </w:tcPr>
          <w:p>
            <w:r>
              <w:t>52</w:t>
            </w:r>
          </w:p>
        </w:tc>
        <w:tc>
          <w:tcPr>
            <w:tcW w:type="dxa" w:w="2160"/>
          </w:tcPr>
          <w:p>
            <w:r>
              <w:t>25</w:t>
            </w:r>
          </w:p>
        </w:tc>
      </w:tr>
    </w:tbl>
    <w:p>
      <w:r>
        <w:br w:type="page"/>
      </w:r>
    </w:p>
    <w:p>
      <w:pPr>
        <w:pStyle w:val="Heading1"/>
      </w:pPr>
      <w:r>
        <w:t>3. Analyse thématique par catégorie</w:t>
      </w:r>
    </w:p>
    <w:p>
      <w:pPr>
        <w:pStyle w:val="Heading2"/>
      </w:pPr>
      <w:r>
        <w:t>3.1 Économie &amp; moyens de production</w:t>
      </w:r>
    </w:p>
    <w:p>
      <w:pPr>
        <w:pStyle w:val="Heading3"/>
      </w:pPr>
      <w:r>
        <w:t>Accès au foncier (52 mentions, 25 entretiens)</w:t>
      </w:r>
    </w:p>
    <w:p>
      <w:r>
        <w:rPr>
          <w:b w:val="0"/>
          <w:i/>
        </w:rPr>
        <w:t>Accès à la terre, mode d'obtention, sécurisation foncière, risque de reprise des terres cultivées par des femmes.</w:t>
      </w:r>
    </w:p>
    <w:p>
      <w:pPr>
        <w:ind w:left="480"/>
      </w:pPr>
      <w:r>
        <w:rPr>
          <w:i/>
          <w:color w:val="516176"/>
        </w:rPr>
        <w:t>« Effectivement, moi chez moi, les femmes n'ont pas accès à la terre... c'est les hommes. »</w:t>
      </w:r>
      <w:r>
        <w:rPr>
          <w:color w:val="94A3B8"/>
          <w:sz w:val="18"/>
        </w:rPr>
        <w:t xml:space="preserve">  — abidjan, 01 – Guide d'entretien national Abidjan </w:t>
      </w:r>
    </w:p>
    <w:p>
      <w:pPr>
        <w:ind w:left="480"/>
      </w:pPr>
      <w:r>
        <w:rPr>
          <w:i/>
          <w:color w:val="516176"/>
        </w:rPr>
        <w:t>« Il y a les décrets permettant l'accès aux terres et au foncier aux femmes. »</w:t>
      </w:r>
      <w:r>
        <w:rPr>
          <w:color w:val="94A3B8"/>
          <w:sz w:val="18"/>
        </w:rPr>
        <w:t xml:space="preserve">  — abidjan, 01 – Guide d'entretien national Abidjan </w:t>
      </w:r>
    </w:p>
    <w:p>
      <w:pPr>
        <w:ind w:left="480"/>
      </w:pPr>
      <w:r>
        <w:rPr>
          <w:i/>
          <w:color w:val="516176"/>
        </w:rPr>
        <w:t>« La femme n'a pas le droit à un héritage, mais même au plan foncier aussi, la femme n'hérite pas. Elle n'a pas le droit à la terre. »</w:t>
      </w:r>
      <w:r>
        <w:rPr>
          <w:color w:val="94A3B8"/>
          <w:sz w:val="18"/>
        </w:rPr>
        <w:t xml:space="preserve">  — tchologo, 02 – Guide d'entretien local Tchologo (A</w:t>
      </w:r>
    </w:p>
    <w:p>
      <w:pPr>
        <w:pStyle w:val="Heading3"/>
      </w:pPr>
      <w:r>
        <w:t>Accès au financement (69 mentions, 30 entretiens)</w:t>
      </w:r>
    </w:p>
    <w:p>
      <w:r>
        <w:rPr>
          <w:b w:val="0"/>
          <w:i/>
        </w:rPr>
        <w:t>Accès au crédit, financement, mutuelles/tontines/MEC, équipements productifs, besoins en investissement.</w:t>
      </w:r>
    </w:p>
    <w:p>
      <w:pPr>
        <w:ind w:left="480"/>
      </w:pPr>
      <w:r>
        <w:rPr>
          <w:i/>
          <w:color w:val="516176"/>
        </w:rPr>
        <w:t>« On a une convention qu'on a signée avec le FAFCI, le fonds d'appui aux femmes de Côte d'Ivoire, pour permettre aux femmes travailleuses indépendantes de bénéficier de la couverture. »</w:t>
      </w:r>
      <w:r>
        <w:rPr>
          <w:color w:val="94A3B8"/>
          <w:sz w:val="18"/>
        </w:rPr>
        <w:t xml:space="preserve">  — abidjan, 01 – Guide d'entretien national Abidjan </w:t>
      </w:r>
    </w:p>
    <w:p>
      <w:pPr>
        <w:ind w:left="480"/>
      </w:pPr>
      <w:r>
        <w:rPr>
          <w:i/>
          <w:color w:val="516176"/>
        </w:rPr>
        <w:t>« Le revenu de base, le plancher c'est 5400... le travailleur n'est pas obligé de payer en une fois, il peut payer en plusieurs fois, comme à la traite des cultures de rente. »</w:t>
      </w:r>
      <w:r>
        <w:rPr>
          <w:color w:val="94A3B8"/>
          <w:sz w:val="18"/>
        </w:rPr>
        <w:t xml:space="preserve">  — abidjan, 01 – Guide d'entretien national Abidjan </w:t>
      </w:r>
    </w:p>
    <w:p>
      <w:pPr>
        <w:ind w:left="480"/>
      </w:pPr>
      <w:r>
        <w:rPr>
          <w:i/>
          <w:color w:val="516176"/>
        </w:rPr>
        <w:t>« Il y a même des fonds, il y a tout intérêt pour rembourser. Et tout le monde n'est pas habitué au système de crédit. »</w:t>
      </w:r>
      <w:r>
        <w:rPr>
          <w:color w:val="94A3B8"/>
          <w:sz w:val="18"/>
        </w:rPr>
        <w:t xml:space="preserve">  — tchologo, 02 – Guide d'entretien local Tchologo (A</w:t>
      </w:r>
    </w:p>
    <w:p>
      <w:pPr>
        <w:pStyle w:val="Heading3"/>
      </w:pPr>
      <w:r>
        <w:t>Conservation &amp; transformation (16 mentions, 8 entretiens)</w:t>
      </w:r>
    </w:p>
    <w:p>
      <w:r>
        <w:rPr>
          <w:b w:val="0"/>
          <w:i/>
        </w:rPr>
        <w:t>Pertes post-récolte, capacité de conservation, transformation des produits agricoles.</w:t>
      </w:r>
    </w:p>
    <w:p>
      <w:pPr>
        <w:ind w:left="480"/>
      </w:pPr>
      <w:r>
        <w:rPr>
          <w:i/>
          <w:color w:val="516176"/>
        </w:rPr>
        <w:t>« La problématique ici c'est la conservation et la transformation... il y a un problème de conservation. »</w:t>
      </w:r>
      <w:r>
        <w:rPr>
          <w:color w:val="94A3B8"/>
          <w:sz w:val="18"/>
        </w:rPr>
        <w:t xml:space="preserve">  — tchologo, 02 – Guide d'entretien local Tchologo (A</w:t>
      </w:r>
    </w:p>
    <w:p>
      <w:pPr>
        <w:ind w:left="480"/>
      </w:pPr>
      <w:r>
        <w:rPr>
          <w:i/>
          <w:color w:val="516176"/>
        </w:rPr>
        <w:t>« On a une transformation... on a besoin de matériel au niveau de la transformation. »</w:t>
      </w:r>
      <w:r>
        <w:rPr>
          <w:color w:val="94A3B8"/>
          <w:sz w:val="18"/>
        </w:rPr>
        <w:t xml:space="preserve">  — tchologo, 05 – Guide d'entretien organisations et </w:t>
      </w:r>
    </w:p>
    <w:p>
      <w:pPr>
        <w:ind w:left="480"/>
      </w:pPr>
      <w:r>
        <w:rPr>
          <w:i/>
          <w:color w:val="516176"/>
        </w:rPr>
        <w:t>« Il faut qu'on ait une usine transformée sur place... on ne met pas les fèves de karité (brutes) dehors. »</w:t>
      </w:r>
      <w:r>
        <w:rPr>
          <w:color w:val="94A3B8"/>
          <w:sz w:val="18"/>
        </w:rPr>
        <w:t xml:space="preserve">  — tchologo, 05 – Guide d'entretien organisations et </w:t>
      </w:r>
    </w:p>
    <w:p>
      <w:pPr>
        <w:pStyle w:val="Heading3"/>
      </w:pPr>
      <w:r>
        <w:t>Accès au marché / débouchés (25 mentions, 15 entretiens)</w:t>
      </w:r>
    </w:p>
    <w:p>
      <w:r>
        <w:rPr>
          <w:b w:val="0"/>
          <w:i/>
        </w:rPr>
        <w:t>Commercialisation, transport vers les marchés, prix, débouchés pour les produits/activités des femmes.</w:t>
      </w:r>
    </w:p>
    <w:p>
      <w:pPr>
        <w:ind w:left="480"/>
      </w:pPr>
      <w:r>
        <w:rPr>
          <w:i/>
          <w:color w:val="516176"/>
        </w:rPr>
        <w:t>« L'écoulement, comment écouler les produits, surtout dans le transport. Moi, il n'y a pas de transport. »</w:t>
      </w:r>
      <w:r>
        <w:rPr>
          <w:color w:val="94A3B8"/>
          <w:sz w:val="18"/>
        </w:rPr>
        <w:t xml:space="preserve">  — tchologo, 02 – Guide d'entretien local Tchologo (A</w:t>
      </w:r>
    </w:p>
    <w:p>
      <w:pPr>
        <w:ind w:left="480"/>
      </w:pPr>
      <w:r>
        <w:rPr>
          <w:i/>
          <w:color w:val="516176"/>
        </w:rPr>
        <w:t>« Si nous on a le marché... on peut résoudre tout nos problèmes. »</w:t>
      </w:r>
      <w:r>
        <w:rPr>
          <w:color w:val="94A3B8"/>
          <w:sz w:val="18"/>
        </w:rPr>
        <w:t xml:space="preserve">  — tchologo, 05 – Guide d'entretien organisations et </w:t>
      </w:r>
    </w:p>
    <w:p>
      <w:pPr>
        <w:ind w:left="480"/>
      </w:pPr>
      <w:r>
        <w:rPr>
          <w:i/>
          <w:color w:val="516176"/>
        </w:rPr>
        <w:t>« Ce n'est pas pour nous de ranger d'abord... on va aller travailler ici, mais nous on n'est pas là. »</w:t>
      </w:r>
      <w:r>
        <w:rPr>
          <w:color w:val="94A3B8"/>
          <w:sz w:val="18"/>
        </w:rPr>
        <w:t xml:space="preserve">  — tchologo, 05 – Guide d'entretien organisations et </w:t>
      </w:r>
    </w:p>
    <w:p>
      <w:pPr>
        <w:pStyle w:val="Heading3"/>
      </w:pPr>
      <w:r>
        <w:t>Changement climatique &amp; adaptation (55 mentions, 30 entretiens)</w:t>
      </w:r>
    </w:p>
    <w:p>
      <w:r>
        <w:rPr>
          <w:b w:val="0"/>
          <w:i/>
        </w:rPr>
        <w:t>Effets du changement climatique (sécheresse, pluies irrégulières, inondations) et pratiques d'adaptation / agroécologie / gestion de l'eau.</w:t>
      </w:r>
    </w:p>
    <w:p>
      <w:pPr>
        <w:ind w:left="480"/>
      </w:pPr>
      <w:r>
        <w:rPr>
          <w:i/>
          <w:color w:val="516176"/>
        </w:rPr>
        <w:t>« Le changement climatique impacte des personnes différenciées, les femmes et les hommes... le plan national d'adaptation sensible aux gens prend en compte les questions des gens. »</w:t>
      </w:r>
      <w:r>
        <w:rPr>
          <w:color w:val="94A3B8"/>
          <w:sz w:val="18"/>
        </w:rPr>
        <w:t xml:space="preserve">  — abidjan, 01 – Guide d'entretien national Abidjan </w:t>
      </w:r>
    </w:p>
    <w:p>
      <w:pPr>
        <w:ind w:left="480"/>
      </w:pPr>
      <w:r>
        <w:rPr>
          <w:i/>
          <w:color w:val="516176"/>
        </w:rPr>
        <w:t>« On peut, j'ai vu aussi dans des centres où l'eau de pluie est recueillie sur les toits pour l'arrosage, le nettoyage, tout ça pour éviter le gaspillage de l'eau. »</w:t>
      </w:r>
      <w:r>
        <w:rPr>
          <w:color w:val="94A3B8"/>
          <w:sz w:val="18"/>
        </w:rPr>
        <w:t xml:space="preserve">  — abidjan, 01 – Guide d'entretien national Abidjan </w:t>
      </w:r>
    </w:p>
    <w:p>
      <w:pPr>
        <w:ind w:left="480"/>
      </w:pPr>
      <w:r>
        <w:rPr>
          <w:i/>
          <w:color w:val="516176"/>
        </w:rPr>
        <w:t>« Les effets des changements climatiques font qu'il y a moins d'eau, ça fait que c'est difficile pour les femmes. »</w:t>
      </w:r>
      <w:r>
        <w:rPr>
          <w:color w:val="94A3B8"/>
          <w:sz w:val="18"/>
        </w:rPr>
        <w:t xml:space="preserve">  — tchologo, 02 – Guide d'entretien local Tchologo (A</w:t>
      </w:r>
    </w:p>
    <w:p>
      <w:pPr>
        <w:pStyle w:val="Heading2"/>
      </w:pPr>
      <w:r>
        <w:t>3.2 Santé &amp; protection sociale</w:t>
      </w:r>
    </w:p>
    <w:p>
      <w:pPr>
        <w:pStyle w:val="Heading3"/>
      </w:pPr>
      <w:r>
        <w:t>Barrières d'accès aux soins (56 mentions, 42 entretiens)</w:t>
      </w:r>
    </w:p>
    <w:p>
      <w:r>
        <w:rPr>
          <w:b w:val="0"/>
          <w:i/>
        </w:rPr>
        <w:t>Coût, distance, transport, accueil, confidentialité, normes sociales limitant l'accès des femmes/adolescentes aux services de santé.</w:t>
      </w:r>
    </w:p>
    <w:p>
      <w:pPr>
        <w:ind w:left="480"/>
      </w:pPr>
      <w:r>
        <w:rPr>
          <w:i/>
          <w:color w:val="516176"/>
        </w:rPr>
        <w:t>« Il y a des localités où l'on dit que même une femme doit bouger, comme obligée de se déplacer jusqu'à 40 km pour avoir accès à une santé. »</w:t>
      </w:r>
      <w:r>
        <w:rPr>
          <w:color w:val="94A3B8"/>
          <w:sz w:val="18"/>
        </w:rPr>
        <w:t xml:space="preserve">  — abidjan, 01 – Guide d'entretien national Abidjan </w:t>
      </w:r>
    </w:p>
    <w:p>
      <w:pPr>
        <w:ind w:left="480"/>
      </w:pPr>
      <w:r>
        <w:rPr>
          <w:i/>
          <w:color w:val="516176"/>
        </w:rPr>
        <w:t>« Une femme qui est financièrement dépendante n'attend pas qu'il y ait une décision de sa venue, elle peut aller faire ses consultations... il y a le niveau d'instruction, il y a le niveau financier. »</w:t>
      </w:r>
      <w:r>
        <w:rPr>
          <w:color w:val="94A3B8"/>
          <w:sz w:val="18"/>
        </w:rPr>
        <w:t xml:space="preserve">  — abidjan, 01 – Guide d'entretien national Abidjan </w:t>
      </w:r>
    </w:p>
    <w:p>
      <w:pPr>
        <w:ind w:left="480"/>
      </w:pPr>
      <w:r>
        <w:rPr>
          <w:i/>
          <w:color w:val="516176"/>
        </w:rPr>
        <w:t>« Il n'y a même pas de centre de santé... le manque de structures sanitaires dans certaines localités... et à cela il y a la difficulté financière. »</w:t>
      </w:r>
      <w:r>
        <w:rPr>
          <w:color w:val="94A3B8"/>
          <w:sz w:val="18"/>
        </w:rPr>
        <w:t xml:space="preserve">  — tchologo, 02 – Guide d'entretien local Tchologo (A</w:t>
      </w:r>
    </w:p>
    <w:p>
      <w:pPr>
        <w:pStyle w:val="Heading3"/>
      </w:pPr>
      <w:r>
        <w:t>CMU &amp; protection sociale (100 mentions, 40 entretiens)</w:t>
      </w:r>
    </w:p>
    <w:p>
      <w:r>
        <w:rPr>
          <w:b w:val="0"/>
          <w:i/>
        </w:rPr>
        <w:t>Connaissance, adhésion, procédures et obstacles liés à la CMU, aux guichets sociaux et mécanismes de protection sociale.</w:t>
      </w:r>
    </w:p>
    <w:p>
      <w:pPr>
        <w:ind w:left="480"/>
      </w:pPr>
      <w:r>
        <w:rPr>
          <w:i/>
          <w:color w:val="516176"/>
        </w:rPr>
        <w:t>« Il y a un problème de communication très grave avec les échelles de stratégie ou l'amélioration de la politique sur le titre de la population... nous sommes dans le cadre de planter Café Kakao, qui ont accepté la politique... ils ont pris un charge à 100%. »</w:t>
      </w:r>
      <w:r>
        <w:rPr>
          <w:color w:val="94A3B8"/>
          <w:sz w:val="18"/>
        </w:rPr>
        <w:t xml:space="preserve">  — abidjan, 01 – Guide d'entretien national Abidjan </w:t>
      </w:r>
    </w:p>
    <w:p>
      <w:pPr>
        <w:ind w:left="480"/>
      </w:pPr>
      <w:r>
        <w:rPr>
          <w:i/>
          <w:color w:val="516176"/>
        </w:rPr>
        <w:t>« Le Président de la République a pris une décision de faire prendre en charge la cotisation des planteurs par les conseils de régulation, notamment les six principales cultures de rente. »</w:t>
      </w:r>
      <w:r>
        <w:rPr>
          <w:color w:val="94A3B8"/>
          <w:sz w:val="18"/>
        </w:rPr>
        <w:t xml:space="preserve">  — abidjan, 01 – Guide d'entretien national Abidjan </w:t>
      </w:r>
    </w:p>
    <w:p>
      <w:pPr>
        <w:ind w:left="480"/>
      </w:pPr>
      <w:r>
        <w:rPr>
          <w:i/>
          <w:color w:val="516176"/>
        </w:rPr>
        <w:t>« Ce qu'on entend, c'est que ce n'est pas souvent que les actes sont remboursés. Quand vous arrivez, vous avez la CMU, on vous dit que ce n'est pas pris en compte. »</w:t>
      </w:r>
      <w:r>
        <w:rPr>
          <w:color w:val="94A3B8"/>
          <w:sz w:val="18"/>
        </w:rPr>
        <w:t xml:space="preserve">  — abidjan, 01 – Guide d'entretien national Abidjan </w:t>
      </w:r>
    </w:p>
    <w:p>
      <w:pPr>
        <w:pStyle w:val="Heading3"/>
      </w:pPr>
      <w:r>
        <w:t>Santé des adolescentes / DSSR (31 mentions, 27 entretiens)</w:t>
      </w:r>
    </w:p>
    <w:p>
      <w:r>
        <w:rPr>
          <w:b w:val="0"/>
          <w:i/>
        </w:rPr>
        <w:t>Accès des adolescentes aux services de santé et droits sexuels/reproductifs, confidentialité adaptée aux jeunes.</w:t>
      </w:r>
    </w:p>
    <w:p>
      <w:pPr>
        <w:ind w:left="480"/>
      </w:pPr>
      <w:r>
        <w:rPr>
          <w:i/>
          <w:color w:val="516176"/>
        </w:rPr>
        <w:t>« Est-ce que le dispensateur est bienveillant et apte à recevoir une adolescente qui veut une contraception... si elle trouve ses parents sur le même banc, elle ne peut pas. »</w:t>
      </w:r>
      <w:r>
        <w:rPr>
          <w:color w:val="94A3B8"/>
          <w:sz w:val="18"/>
        </w:rPr>
        <w:t xml:space="preserve">  — abidjan, 01 – Guide d'entretien national Abidjan </w:t>
      </w:r>
    </w:p>
    <w:p>
      <w:pPr>
        <w:ind w:left="480"/>
      </w:pPr>
      <w:r>
        <w:rPr>
          <w:i/>
          <w:color w:val="516176"/>
        </w:rPr>
        <w:t>« L'adolescente, si elle sait que dans cette structure-là il y a un box réservé aux adolescents... elle reçoit, sinon elle doit se mettre dans le même banc. »</w:t>
      </w:r>
      <w:r>
        <w:rPr>
          <w:color w:val="94A3B8"/>
          <w:sz w:val="18"/>
        </w:rPr>
        <w:t xml:space="preserve">  — abidjan, 01 – Guide d'entretien national Abidjan </w:t>
      </w:r>
    </w:p>
    <w:p>
      <w:pPr>
        <w:ind w:left="480"/>
      </w:pPr>
      <w:r>
        <w:rPr>
          <w:i/>
          <w:color w:val="516176"/>
        </w:rPr>
        <w:t>« Les adolescentes se retrouvent en milieu scolaire... l'aurèce, tu peux appeler ça psychologique. Elle peut avoir honte d'aller se faire soigner. »</w:t>
      </w:r>
      <w:r>
        <w:rPr>
          <w:color w:val="94A3B8"/>
          <w:sz w:val="18"/>
        </w:rPr>
        <w:t xml:space="preserve">  — tchologo, 02 – Guide d'entretien local Tchologo (A</w:t>
      </w:r>
    </w:p>
    <w:p>
      <w:pPr>
        <w:pStyle w:val="Heading3"/>
      </w:pPr>
      <w:r>
        <w:t>Violences basées sur le genre (VBG) (49 mentions, 29 entretiens)</w:t>
      </w:r>
    </w:p>
    <w:p>
      <w:r>
        <w:rPr>
          <w:b w:val="0"/>
          <w:i/>
        </w:rPr>
        <w:t>Formes de VBG, facteurs de persistance, mécanismes d'identification/orientation/prise en charge, risques de représailles.</w:t>
      </w:r>
    </w:p>
    <w:p>
      <w:pPr>
        <w:ind w:left="480"/>
      </w:pPr>
      <w:r>
        <w:rPr>
          <w:i/>
          <w:color w:val="516176"/>
        </w:rPr>
        <w:t>« Dans le nord de la Côte d'Ivoire, certains hommes refusent que leur femme soit auscultée... on peut parler aussi de l'excision. »</w:t>
      </w:r>
      <w:r>
        <w:rPr>
          <w:color w:val="94A3B8"/>
          <w:sz w:val="18"/>
        </w:rPr>
        <w:t xml:space="preserve">  — abidjan, 01 – Guide d'entretien national Abidjan </w:t>
      </w:r>
    </w:p>
    <w:p>
      <w:pPr>
        <w:ind w:left="480"/>
      </w:pPr>
      <w:r>
        <w:rPr>
          <w:i/>
          <w:color w:val="516176"/>
        </w:rPr>
        <w:t>« Il y a les VBG, il y en a assez, c'est pas que... l'inceste, tout, tout, tout, c'est des violences vraiment injustes. »</w:t>
      </w:r>
      <w:r>
        <w:rPr>
          <w:color w:val="94A3B8"/>
          <w:sz w:val="18"/>
        </w:rPr>
        <w:t xml:space="preserve">  — abidjan, 01 – Guide d'entretien national Abidjan </w:t>
      </w:r>
    </w:p>
    <w:p>
      <w:pPr>
        <w:ind w:left="480"/>
      </w:pPr>
      <w:r>
        <w:rPr>
          <w:i/>
          <w:color w:val="516176"/>
        </w:rPr>
        <w:t>« Quand une femme porte plainte, c'est parce qu'elle est maltraitée... c'est tout le VBG. »</w:t>
      </w:r>
      <w:r>
        <w:rPr>
          <w:color w:val="94A3B8"/>
          <w:sz w:val="18"/>
        </w:rPr>
        <w:t xml:space="preserve">  — tchologo, 02 – Guide d'entretien local Tchologo (A</w:t>
      </w:r>
    </w:p>
    <w:p>
      <w:pPr>
        <w:pStyle w:val="Heading2"/>
      </w:pPr>
      <w:r>
        <w:t>3.3 Normes, pouvoir &amp; droits</w:t>
      </w:r>
    </w:p>
    <w:p>
      <w:pPr>
        <w:pStyle w:val="Heading3"/>
      </w:pPr>
      <w:r>
        <w:t>Participation des femmes à la décision (62 mentions, 43 entretiens)</w:t>
      </w:r>
    </w:p>
    <w:p>
      <w:r>
        <w:rPr>
          <w:b w:val="0"/>
          <w:i/>
        </w:rPr>
        <w:t>Place réelle ou symbolique des femmes dans les instances de décision locales, communautaires ou organisationnelles.</w:t>
      </w:r>
    </w:p>
    <w:p>
      <w:pPr>
        <w:ind w:left="480"/>
      </w:pPr>
      <w:r>
        <w:rPr>
          <w:i/>
          <w:color w:val="516176"/>
        </w:rPr>
        <w:t>« Quand on reconnaît notre direction générale, on a plus de femmes... on tombe beaucoup, beaucoup la chance aux femmes d'accéder à des postes de responsabilité. »</w:t>
      </w:r>
      <w:r>
        <w:rPr>
          <w:color w:val="94A3B8"/>
          <w:sz w:val="18"/>
        </w:rPr>
        <w:t xml:space="preserve">  — abidjan, 01 – Guide d'entretien national Abidjan </w:t>
      </w:r>
    </w:p>
    <w:p>
      <w:pPr>
        <w:ind w:left="480"/>
      </w:pPr>
      <w:r>
        <w:rPr>
          <w:i/>
          <w:color w:val="516176"/>
        </w:rPr>
        <w:t>« C'était toujours le problème de la place des femmes... on essaie quand même... on a fait 30%. Voilà, 30%. C'est pas trop. »</w:t>
      </w:r>
      <w:r>
        <w:rPr>
          <w:color w:val="94A3B8"/>
          <w:sz w:val="18"/>
        </w:rPr>
        <w:t xml:space="preserve">  — tchologo, 02 – Guide d'entretien local Tchologo (A</w:t>
      </w:r>
    </w:p>
    <w:p>
      <w:pPr>
        <w:ind w:left="480"/>
      </w:pPr>
      <w:r>
        <w:rPr>
          <w:i/>
          <w:color w:val="516176"/>
        </w:rPr>
        <w:t>« Quand on faisait la liste des conseillers... il y a 11 femmes... on décide ensemble. Elles ont le mot à dire. »</w:t>
      </w:r>
      <w:r>
        <w:rPr>
          <w:color w:val="94A3B8"/>
          <w:sz w:val="18"/>
        </w:rPr>
        <w:t xml:space="preserve">  — tchologo, 02 – Guide d'entretien local Tchologo (A</w:t>
      </w:r>
    </w:p>
    <w:p>
      <w:pPr>
        <w:pStyle w:val="Heading3"/>
      </w:pPr>
      <w:r>
        <w:t>Contrôle masculin des ressources/décisions (73 mentions, 38 entretiens)</w:t>
      </w:r>
    </w:p>
    <w:p>
      <w:r>
        <w:rPr>
          <w:b w:val="0"/>
          <w:i/>
        </w:rPr>
        <w:t>Contrôle des revenus, des dépenses du ménage ou de la santé par les hommes ; autorisation familiale/maritale requise.</w:t>
      </w:r>
    </w:p>
    <w:p>
      <w:pPr>
        <w:ind w:left="480"/>
      </w:pPr>
      <w:r>
        <w:rPr>
          <w:i/>
          <w:color w:val="516176"/>
        </w:rPr>
        <w:t>« C'est l'homme qui détient tout. Elle est obligée d'attendre... elle n'a pas droit à ce que soit une décision. »</w:t>
      </w:r>
      <w:r>
        <w:rPr>
          <w:color w:val="94A3B8"/>
          <w:sz w:val="18"/>
        </w:rPr>
        <w:t xml:space="preserve">  — abidjan, 01 – Guide d'entretien national Abidjan </w:t>
      </w:r>
    </w:p>
    <w:p>
      <w:pPr>
        <w:ind w:left="480"/>
      </w:pPr>
      <w:r>
        <w:rPr>
          <w:i/>
          <w:color w:val="516176"/>
        </w:rPr>
        <w:t>« Le moyen financier même que les femmes préoccupées à l'hôpital sont entièrement dépendant des hommes. »</w:t>
      </w:r>
      <w:r>
        <w:rPr>
          <w:color w:val="94A3B8"/>
          <w:sz w:val="18"/>
        </w:rPr>
        <w:t xml:space="preserve">  — abidjan, 01 – Guide d'entretien national Abidjan </w:t>
      </w:r>
    </w:p>
    <w:p>
      <w:pPr>
        <w:ind w:left="480"/>
      </w:pPr>
      <w:r>
        <w:rPr>
          <w:i/>
          <w:color w:val="516176"/>
        </w:rPr>
        <w:t>« C'est lui qui a voulu, c'est le mari, c'est l'homme. C'est lui qui a voulu que vous voyiez des décisions. »</w:t>
      </w:r>
      <w:r>
        <w:rPr>
          <w:color w:val="94A3B8"/>
          <w:sz w:val="18"/>
        </w:rPr>
        <w:t xml:space="preserve">  — tchologo, 02 – Guide d'entretien local Tchologo (A</w:t>
      </w:r>
    </w:p>
    <w:p>
      <w:pPr>
        <w:pStyle w:val="Heading3"/>
      </w:pPr>
      <w:r>
        <w:t>Répartition genrée des tâches (17 mentions, 11 entretiens)</w:t>
      </w:r>
    </w:p>
    <w:p>
      <w:r>
        <w:rPr>
          <w:b w:val="0"/>
          <w:i/>
        </w:rPr>
        <w:t>Division du travail domestique, des soins aux enfants/malades, agricole ou commercial entre hommes et femmes.</w:t>
      </w:r>
    </w:p>
    <w:p>
      <w:pPr>
        <w:ind w:left="480"/>
      </w:pPr>
      <w:r>
        <w:rPr>
          <w:i/>
          <w:color w:val="516176"/>
        </w:rPr>
        <w:t>« Il y a beaucoup de charges, ce sont des enfants, des soins non rémunérés, des travaux domestiques, et ce sont les femmes qui sont les seules à assumer. »</w:t>
      </w:r>
      <w:r>
        <w:rPr>
          <w:color w:val="94A3B8"/>
          <w:sz w:val="18"/>
        </w:rPr>
        <w:t xml:space="preserve">  — abidjan, 01 – Guide d'entretien national Abidjan </w:t>
      </w:r>
    </w:p>
    <w:p>
      <w:pPr>
        <w:ind w:left="480"/>
      </w:pPr>
      <w:r>
        <w:rPr>
          <w:i/>
          <w:color w:val="516176"/>
        </w:rPr>
        <w:t>« S'occuper de ces enfants, ce n'est pas un travail... aucune rémunération, alors que rester à la maison, c'est aussi un travail. »</w:t>
      </w:r>
      <w:r>
        <w:rPr>
          <w:color w:val="94A3B8"/>
          <w:sz w:val="18"/>
        </w:rPr>
        <w:t xml:space="preserve">  — abidjan, 01 – Guide d'entretien national Abidjan </w:t>
      </w:r>
    </w:p>
    <w:p>
      <w:pPr>
        <w:ind w:left="480"/>
      </w:pPr>
      <w:r>
        <w:rPr>
          <w:i/>
          <w:color w:val="516176"/>
        </w:rPr>
        <w:t>« Le problème des enfants... c'est école, maladie, l'hôpital. Le problème c'est ça. »</w:t>
      </w:r>
      <w:r>
        <w:rPr>
          <w:color w:val="94A3B8"/>
          <w:sz w:val="18"/>
        </w:rPr>
        <w:t xml:space="preserve">  — tchologo, 05 – Guide d'entretien organisations et </w:t>
      </w:r>
    </w:p>
    <w:p>
      <w:pPr>
        <w:pStyle w:val="Heading3"/>
      </w:pPr>
      <w:r>
        <w:t>Droits non respectés (57 mentions, 39 entretiens)</w:t>
      </w:r>
    </w:p>
    <w:p>
      <w:r>
        <w:rPr>
          <w:b w:val="0"/>
          <w:i/>
        </w:rPr>
        <w:t>Droits des femmes/adolescentes jugés insuffisamment respectés ou garantis, et responsabilité de cette situation.</w:t>
      </w:r>
    </w:p>
    <w:p>
      <w:pPr>
        <w:ind w:left="480"/>
      </w:pPr>
      <w:r>
        <w:rPr>
          <w:i/>
          <w:color w:val="516176"/>
        </w:rPr>
        <w:t>« En général, les manquements ne sont pas dénoncés, c'est pour ça qu'on a l'impression que ces droits ne sont pas appliqués. »</w:t>
      </w:r>
      <w:r>
        <w:rPr>
          <w:color w:val="94A3B8"/>
          <w:sz w:val="18"/>
        </w:rPr>
        <w:t xml:space="preserve">  — abidjan, 01 – Guide d'entretien national Abidjan </w:t>
      </w:r>
    </w:p>
    <w:p>
      <w:pPr>
        <w:ind w:left="480"/>
      </w:pPr>
      <w:r>
        <w:rPr>
          <w:i/>
          <w:color w:val="516176"/>
        </w:rPr>
        <w:t>« Quand vous avez ce cancer du col, si vous n'avez aucune assurance, vous allez... c'est lourd. C'est l'État qui doit garantir ça, ce n'est pas vous, ce n'est pas moi. »</w:t>
      </w:r>
      <w:r>
        <w:rPr>
          <w:color w:val="94A3B8"/>
          <w:sz w:val="18"/>
        </w:rPr>
        <w:t xml:space="preserve">  — abidjan, 01 – Guide d'entretien national Abidjan </w:t>
      </w:r>
    </w:p>
    <w:p>
      <w:pPr>
        <w:ind w:left="480"/>
      </w:pPr>
      <w:r>
        <w:rPr>
          <w:i/>
          <w:color w:val="516176"/>
        </w:rPr>
        <w:t>« Les droits des femmes qui sont les plus ignorés sont les droits à l'éducation, les droits à la prise de décision... et le droit lié aux héritages. »</w:t>
      </w:r>
      <w:r>
        <w:rPr>
          <w:color w:val="94A3B8"/>
          <w:sz w:val="18"/>
        </w:rPr>
        <w:t xml:space="preserve">  — tchologo, 02 – Guide d'entretien local Tchologo (A</w:t>
      </w:r>
    </w:p>
    <w:p>
      <w:pPr>
        <w:pStyle w:val="Heading3"/>
      </w:pPr>
      <w:r>
        <w:t>Mécanismes de plainte / recours (97 mentions, 47 entretiens)</w:t>
      </w:r>
    </w:p>
    <w:p>
      <w:r>
        <w:rPr>
          <w:b w:val="0"/>
          <w:i/>
        </w:rPr>
        <w:t>Mécanismes formels ou traditionnels (comité de notables, etc.) de plainte, réclamation, médiation ou redevabilité.</w:t>
      </w:r>
    </w:p>
    <w:p>
      <w:pPr>
        <w:ind w:left="480"/>
      </w:pPr>
      <w:r>
        <w:rPr>
          <w:i/>
          <w:color w:val="516176"/>
        </w:rPr>
        <w:t>« Le ministère a la ligne verte pour dénoncer... il y a aussi les cliniques juridiques qui travaillent en relation avec le ministère de la Femme. »</w:t>
      </w:r>
      <w:r>
        <w:rPr>
          <w:color w:val="94A3B8"/>
          <w:sz w:val="18"/>
        </w:rPr>
        <w:t xml:space="preserve">  — abidjan, 01 – Guide d'entretien national Abidjan </w:t>
      </w:r>
    </w:p>
    <w:p>
      <w:pPr>
        <w:ind w:left="480"/>
      </w:pPr>
      <w:r>
        <w:rPr>
          <w:i/>
          <w:color w:val="516176"/>
        </w:rPr>
        <w:t>« Les comités locaux... siège le chef de village, le président des jeunes, la présidente des femmes, pour collecter les plaintes et les remonter au niveau central. »</w:t>
      </w:r>
      <w:r>
        <w:rPr>
          <w:color w:val="94A3B8"/>
          <w:sz w:val="18"/>
        </w:rPr>
        <w:t xml:space="preserve">  — abidjan, 01 – Guide d'entretien national Abidjan </w:t>
      </w:r>
    </w:p>
    <w:p>
      <w:pPr>
        <w:ind w:left="480"/>
      </w:pPr>
      <w:r>
        <w:rPr>
          <w:i/>
          <w:color w:val="516176"/>
        </w:rPr>
        <w:t>« Il y a un comité de gestion des plaintes qui a été implementé... les populations sont formées d'offre et de remonter ces plaintes-là au niveau du comité. »</w:t>
      </w:r>
      <w:r>
        <w:rPr>
          <w:color w:val="94A3B8"/>
          <w:sz w:val="18"/>
        </w:rPr>
        <w:t xml:space="preserve">  — tchologo, 02 – Guide d'entretien local Tchologo (A</w:t>
      </w:r>
    </w:p>
    <w:p>
      <w:pPr>
        <w:pStyle w:val="Heading3"/>
      </w:pPr>
      <w:r>
        <w:t>Résistances au changement (21 mentions, 18 entretiens)</w:t>
      </w:r>
    </w:p>
    <w:p>
      <w:r>
        <w:rPr>
          <w:b w:val="0"/>
          <w:i/>
        </w:rPr>
        <w:t>Risques de résistance, tensions ou représailles anticipés si les femmes gagnent en autonomie ou en droits.</w:t>
      </w:r>
    </w:p>
    <w:p>
      <w:pPr>
        <w:ind w:left="480"/>
      </w:pPr>
      <w:r>
        <w:rPr>
          <w:i/>
          <w:color w:val="516176"/>
        </w:rPr>
        <w:t>« La peur des hommes... la femme qui est autonome, elle va prendre le dessus de lui en thème d'autorité... ça crée des séparations. »</w:t>
      </w:r>
      <w:r>
        <w:rPr>
          <w:color w:val="94A3B8"/>
          <w:sz w:val="18"/>
        </w:rPr>
        <w:t xml:space="preserve">  — tchologo, 02 – Guide d'entretien local Tchologo (A</w:t>
      </w:r>
    </w:p>
    <w:p>
      <w:pPr>
        <w:ind w:left="480"/>
      </w:pPr>
      <w:r>
        <w:rPr>
          <w:i/>
          <w:color w:val="516176"/>
        </w:rPr>
        <w:t>« Ça a beaucoup été la cause de séparation... quand l'homme voit que la femme est indépendante, souvent la femme commence à gagner plus que l'homme... il n'est pas content. »</w:t>
      </w:r>
      <w:r>
        <w:rPr>
          <w:color w:val="94A3B8"/>
          <w:sz w:val="18"/>
        </w:rPr>
        <w:t xml:space="preserve">  — tchologo, 07 – Guide d'entretien leaders communaut</w:t>
      </w:r>
    </w:p>
    <w:p>
      <w:pPr>
        <w:ind w:left="480"/>
      </w:pPr>
      <w:r>
        <w:rPr>
          <w:i/>
          <w:color w:val="516176"/>
        </w:rPr>
        <w:t>« Elles touchent une somme supérieure à la somme de leur mari... donc l'homme, chez nous ici, les hommes ne peuvent pas supporter ça. »</w:t>
      </w:r>
      <w:r>
        <w:rPr>
          <w:color w:val="94A3B8"/>
          <w:sz w:val="18"/>
        </w:rPr>
        <w:t xml:space="preserve">  — tchologo, 07 – Guide d'entretien leaders communaut</w:t>
      </w:r>
    </w:p>
    <w:p>
      <w:pPr>
        <w:pStyle w:val="Heading2"/>
      </w:pPr>
      <w:r>
        <w:t>3.4 Vulnérabilité &amp; inclusion</w:t>
      </w:r>
    </w:p>
    <w:p>
      <w:pPr>
        <w:pStyle w:val="Heading3"/>
      </w:pPr>
      <w:r>
        <w:t>Groupes de femmes vulnérables (60 mentions, 33 entretiens)</w:t>
      </w:r>
    </w:p>
    <w:p>
      <w:r>
        <w:rPr>
          <w:b w:val="0"/>
          <w:i/>
        </w:rPr>
        <w:t>Identification de groupes ou catégories de femmes particulièrement vulnérables, marginalisées ou exclues.</w:t>
      </w:r>
    </w:p>
    <w:p>
      <w:pPr>
        <w:ind w:left="480"/>
      </w:pPr>
      <w:r>
        <w:rPr>
          <w:i/>
          <w:color w:val="516176"/>
        </w:rPr>
        <w:t>« Les femmes chefs de famille, les femmes veuves, les femmes abandonnées par les époux, ce sont elles qui sont le plus sujettes [à la vulnérabilité]. »</w:t>
      </w:r>
      <w:r>
        <w:rPr>
          <w:color w:val="94A3B8"/>
          <w:sz w:val="18"/>
        </w:rPr>
        <w:t xml:space="preserve">  — abidjan, 01 – Guide d'entretien national Abidjan </w:t>
      </w:r>
    </w:p>
    <w:p>
      <w:pPr>
        <w:ind w:left="480"/>
      </w:pPr>
      <w:r>
        <w:rPr>
          <w:i/>
          <w:color w:val="516176"/>
        </w:rPr>
        <w:t>« Les femmes qui n'ont pas été scolarisées, mariées trop jeunes, les adolescentes orphelines... c'est une population très vulnérable. »</w:t>
      </w:r>
      <w:r>
        <w:rPr>
          <w:color w:val="94A3B8"/>
          <w:sz w:val="18"/>
        </w:rPr>
        <w:t xml:space="preserve">  — abidjan, 01 – Guide d'entretien national Abidjan </w:t>
      </w:r>
    </w:p>
    <w:p>
      <w:pPr>
        <w:ind w:left="480"/>
      </w:pPr>
      <w:r>
        <w:rPr>
          <w:i/>
          <w:color w:val="516176"/>
        </w:rPr>
        <w:t>« Il y a des femmes aussi, c'est très, très vulnérables... des demandeurs d'asile. Ce sont aussi des choses, ils sont très vulnérables. »</w:t>
      </w:r>
      <w:r>
        <w:rPr>
          <w:color w:val="94A3B8"/>
          <w:sz w:val="18"/>
        </w:rPr>
        <w:t xml:space="preserve">  — tchologo, 02 – Guide d'entretien local Tchologo (A</w:t>
      </w:r>
    </w:p>
    <w:p>
      <w:pPr>
        <w:pStyle w:val="Heading3"/>
      </w:pPr>
      <w:r>
        <w:t>Zones/localités difficiles d'accès (21 mentions, 16 entretiens)</w:t>
      </w:r>
    </w:p>
    <w:p>
      <w:r>
        <w:rPr>
          <w:b w:val="0"/>
          <w:i/>
        </w:rPr>
        <w:t>Localités enclavées, éloignées ou difficiles d'accès pour les services ou les interventions.</w:t>
      </w:r>
    </w:p>
    <w:p>
      <w:pPr>
        <w:ind w:left="480"/>
      </w:pPr>
      <w:r>
        <w:rPr>
          <w:i/>
          <w:color w:val="516176"/>
        </w:rPr>
        <w:t>« Les voies ne sont pas faites, c'est la terre rouge, donc c'est difficile pour les agents de la CMU de couvrir ces zones-là. »</w:t>
      </w:r>
      <w:r>
        <w:rPr>
          <w:color w:val="94A3B8"/>
          <w:sz w:val="18"/>
        </w:rPr>
        <w:t xml:space="preserve">  — abidjan, 01 – Guide d'entretien national Abidjan </w:t>
      </w:r>
    </w:p>
    <w:p>
      <w:pPr>
        <w:ind w:left="480"/>
      </w:pPr>
      <w:r>
        <w:rPr>
          <w:i/>
          <w:color w:val="516176"/>
        </w:rPr>
        <w:t>« On mène des actions, des missions dans les zones de compétence... on ne attend pas que la population vienne vers nous, on va vers cette population. »</w:t>
      </w:r>
      <w:r>
        <w:rPr>
          <w:color w:val="94A3B8"/>
          <w:sz w:val="18"/>
        </w:rPr>
        <w:t xml:space="preserve">  — abidjan, 01 – Guide d'entretien national Abidjan </w:t>
      </w:r>
    </w:p>
    <w:p>
      <w:pPr>
        <w:ind w:left="480"/>
      </w:pPr>
      <w:r>
        <w:rPr>
          <w:i/>
          <w:color w:val="516176"/>
        </w:rPr>
        <w:t>« Il y a un problème de pont, de traverser des marigots pour pouvoir venir ici... les accès sont très très difficiles. »</w:t>
      </w:r>
      <w:r>
        <w:rPr>
          <w:color w:val="94A3B8"/>
          <w:sz w:val="18"/>
        </w:rPr>
        <w:t xml:space="preserve">  — tchologo, 02 – Guide d'entretien local Tchologo (A</w:t>
      </w:r>
    </w:p>
    <w:p>
      <w:pPr>
        <w:pStyle w:val="Heading3"/>
      </w:pPr>
      <w:r>
        <w:t>Disparités âge / milieu / secteur (15 mentions, 15 entretiens)</w:t>
      </w:r>
    </w:p>
    <w:p>
      <w:r>
        <w:rPr>
          <w:b w:val="0"/>
          <w:i/>
        </w:rPr>
        <w:t>Différences observées selon l'âge, le milieu rural/urbain ou le secteur d'activité.</w:t>
      </w:r>
    </w:p>
    <w:p>
      <w:pPr>
        <w:ind w:left="480"/>
      </w:pPr>
      <w:r>
        <w:rPr>
          <w:i/>
          <w:color w:val="516176"/>
        </w:rPr>
        <w:t>« Le milieu de résidence... la femme en milieu rural soit plus [confrontée à des difficultés]. »</w:t>
      </w:r>
      <w:r>
        <w:rPr>
          <w:color w:val="94A3B8"/>
          <w:sz w:val="18"/>
        </w:rPr>
        <w:t xml:space="preserve">  — abidjan, 01 – Guide d'entretien national Abidjan </w:t>
      </w:r>
    </w:p>
    <w:p>
      <w:pPr>
        <w:ind w:left="480"/>
      </w:pPr>
      <w:r>
        <w:rPr>
          <w:i/>
          <w:color w:val="516176"/>
        </w:rPr>
        <w:t>« Dans le secteur vivrier, c'est là qu'on retrouve beaucoup de femmes... on va peut-être réfléchir à des actions ciblées sur des femmes. »</w:t>
      </w:r>
      <w:r>
        <w:rPr>
          <w:color w:val="94A3B8"/>
          <w:sz w:val="18"/>
        </w:rPr>
        <w:t xml:space="preserve">  — abidjan, 01 – Guide d'entretien national Abidjan </w:t>
      </w:r>
    </w:p>
    <w:p>
      <w:pPr>
        <w:ind w:left="480"/>
      </w:pPr>
      <w:r>
        <w:rPr>
          <w:i/>
          <w:color w:val="516176"/>
        </w:rPr>
        <w:t>« Au niveau de l'âge, ici, le plus fragile, c'est les ados... elles sont exposées à la difficulté de la vie urbaine, un thème de sexualité, un thème de vulnérabilité. »</w:t>
      </w:r>
      <w:r>
        <w:rPr>
          <w:color w:val="94A3B8"/>
          <w:sz w:val="18"/>
        </w:rPr>
        <w:t xml:space="preserve">  — tchologo, 02 – Guide d'entretien local Tchologo (A</w:t>
      </w:r>
    </w:p>
    <w:p>
      <w:pPr>
        <w:pStyle w:val="Heading3"/>
      </w:pPr>
      <w:r>
        <w:t>Mariage précoce / scolarisation des filles (30 mentions, 16 entretiens)</w:t>
      </w:r>
    </w:p>
    <w:p>
      <w:r>
        <w:rPr>
          <w:b w:val="0"/>
          <w:i/>
        </w:rPr>
        <w:t>Mariage précoce, grossesse précoce, maintien ou abandon de la scolarisation des filles.</w:t>
      </w:r>
    </w:p>
    <w:p>
      <w:pPr>
        <w:ind w:left="480"/>
      </w:pPr>
      <w:r>
        <w:rPr>
          <w:i/>
          <w:color w:val="516176"/>
        </w:rPr>
        <w:t>« Il y a des décisions qui ont été prises pour les jeunes filles qui reposent de l'année comme la scène [grossesse], elles peuvent revenir sans problème. »</w:t>
      </w:r>
      <w:r>
        <w:rPr>
          <w:color w:val="94A3B8"/>
          <w:sz w:val="18"/>
        </w:rPr>
        <w:t xml:space="preserve">  — abidjan, 01 – Guide d'entretien national Abidjan </w:t>
      </w:r>
    </w:p>
    <w:p>
      <w:pPr>
        <w:ind w:left="480"/>
      </w:pPr>
      <w:r>
        <w:rPr>
          <w:i/>
          <w:color w:val="516176"/>
        </w:rPr>
        <w:t>« Il faut instruire le plus longtemps possible... ça va réduire un peu la pauvreté féminine. »</w:t>
      </w:r>
      <w:r>
        <w:rPr>
          <w:color w:val="94A3B8"/>
          <w:sz w:val="18"/>
        </w:rPr>
        <w:t xml:space="preserve">  — abidjan, 01 – Guide d'entretien national Abidjan </w:t>
      </w:r>
    </w:p>
    <w:p>
      <w:pPr>
        <w:ind w:left="480"/>
      </w:pPr>
      <w:r>
        <w:rPr>
          <w:i/>
          <w:color w:val="516176"/>
        </w:rPr>
        <w:t>« La plupart de ces filles manquent des moyens pour payer des produits hygiéniques... ce qui fait qu'elles arrêtent les cours. »</w:t>
      </w:r>
      <w:r>
        <w:rPr>
          <w:color w:val="94A3B8"/>
          <w:sz w:val="18"/>
        </w:rPr>
        <w:t xml:space="preserve">  — tchologo, 02 – Guide d'entretien local Tchologo (A</w:t>
      </w:r>
    </w:p>
    <w:p>
      <w:pPr>
        <w:pStyle w:val="Heading2"/>
      </w:pPr>
      <w:r>
        <w:t>3.5 Capacités, information &amp; bonnes pratiques</w:t>
      </w:r>
    </w:p>
    <w:p>
      <w:pPr>
        <w:pStyle w:val="Heading3"/>
      </w:pPr>
      <w:r>
        <w:t>Renforcement des capacités (90 mentions, 41 entretiens)</w:t>
      </w:r>
    </w:p>
    <w:p>
      <w:r>
        <w:rPr>
          <w:b w:val="0"/>
          <w:i/>
        </w:rPr>
        <w:t>Besoins en formation, capacités techniques, organisationnelles ou institutionnelles à renforcer.</w:t>
      </w:r>
    </w:p>
    <w:p>
      <w:pPr>
        <w:ind w:left="480"/>
      </w:pPr>
      <w:r>
        <w:rPr>
          <w:i/>
          <w:color w:val="516176"/>
        </w:rPr>
        <w:t>« Il s'agit non seulement de renforcement de capacités... des formations qui sont faites dans beaucoup de domaines. »</w:t>
      </w:r>
      <w:r>
        <w:rPr>
          <w:color w:val="94A3B8"/>
          <w:sz w:val="18"/>
        </w:rPr>
        <w:t xml:space="preserve">  — abidjan, 01 – Guide d'entretien national Abidjan </w:t>
      </w:r>
    </w:p>
    <w:p>
      <w:pPr>
        <w:ind w:left="480"/>
      </w:pPr>
      <w:r>
        <w:rPr>
          <w:i/>
          <w:color w:val="516176"/>
        </w:rPr>
        <w:t>« Il faut aussi que l'accompagnement, l'encadrement puissent avoir les moyens nécessaires pour mettre en œuvre toutes ces politiques-là. »</w:t>
      </w:r>
      <w:r>
        <w:rPr>
          <w:color w:val="94A3B8"/>
          <w:sz w:val="18"/>
        </w:rPr>
        <w:t xml:space="preserve">  — abidjan, 01 – Guide d'entretien national Abidjan </w:t>
      </w:r>
    </w:p>
    <w:p>
      <w:pPr>
        <w:ind w:left="480"/>
      </w:pPr>
      <w:r>
        <w:rPr>
          <w:i/>
          <w:color w:val="516176"/>
        </w:rPr>
        <w:t>« Il faut accentuer la sensibilisation au niveau communautaire pour que le leadership féminin soit valorisé. »</w:t>
      </w:r>
      <w:r>
        <w:rPr>
          <w:color w:val="94A3B8"/>
          <w:sz w:val="18"/>
        </w:rPr>
        <w:t xml:space="preserve">  — tchologo, 02 – Guide d'entretien local Tchologo (A</w:t>
      </w:r>
    </w:p>
    <w:p>
      <w:pPr>
        <w:pStyle w:val="Heading3"/>
      </w:pPr>
      <w:r>
        <w:t>Accès à l'information / sensibilisation (77 mentions, 42 entretiens)</w:t>
      </w:r>
    </w:p>
    <w:p>
      <w:r>
        <w:rPr>
          <w:b w:val="0"/>
          <w:i/>
        </w:rPr>
        <w:t>Canaux d'information, connaissance des droits ou dispositifs existants, actions de sensibilisation.</w:t>
      </w:r>
    </w:p>
    <w:p>
      <w:pPr>
        <w:ind w:left="480"/>
      </w:pPr>
      <w:r>
        <w:rPr>
          <w:i/>
          <w:color w:val="516176"/>
        </w:rPr>
        <w:t>« L'alphabétisation... est un niveau non seulement de connaissance de cette population mais aussi de sensibilisation, elle doit se poursuivre. »</w:t>
      </w:r>
      <w:r>
        <w:rPr>
          <w:color w:val="94A3B8"/>
          <w:sz w:val="18"/>
        </w:rPr>
        <w:t xml:space="preserve">  — abidjan, 01 – Guide d'entretien national Abidjan </w:t>
      </w:r>
    </w:p>
    <w:p>
      <w:pPr>
        <w:ind w:left="480"/>
      </w:pPr>
      <w:r>
        <w:rPr>
          <w:i/>
          <w:color w:val="516176"/>
        </w:rPr>
        <w:t>« Parfois les femmes n'ont pas facilement accès à ces canaux [radio, télévision]... il faut aller sur le terrain et trouver les femmes là où elles sont. »</w:t>
      </w:r>
      <w:r>
        <w:rPr>
          <w:color w:val="94A3B8"/>
          <w:sz w:val="18"/>
        </w:rPr>
        <w:t xml:space="preserve">  — abidjan, 01 – Guide d'entretien national Abidjan </w:t>
      </w:r>
    </w:p>
    <w:p>
      <w:pPr>
        <w:ind w:left="480"/>
      </w:pPr>
      <w:r>
        <w:rPr>
          <w:i/>
          <w:color w:val="516176"/>
        </w:rPr>
        <w:t>« Elles n'ont pas l'information. Il y a toute l'incompréhension... il n'y a pas l'information médicale. »</w:t>
      </w:r>
      <w:r>
        <w:rPr>
          <w:color w:val="94A3B8"/>
          <w:sz w:val="18"/>
        </w:rPr>
        <w:t xml:space="preserve">  — tchologo, 02 – Guide d'entretien local Tchologo (A</w:t>
      </w:r>
    </w:p>
    <w:p>
      <w:pPr>
        <w:pStyle w:val="Heading3"/>
      </w:pPr>
      <w:r>
        <w:t>Solutions locales déjà existantes (35 mentions, 21 entretiens)</w:t>
      </w:r>
    </w:p>
    <w:p>
      <w:r>
        <w:rPr>
          <w:b w:val="0"/>
          <w:i/>
        </w:rPr>
        <w:t>Pratiques, initiatives ou solutions déjà en place qui fonctionnent et pourraient être renforcées.</w:t>
      </w:r>
    </w:p>
    <w:p>
      <w:pPr>
        <w:ind w:left="480"/>
      </w:pPr>
      <w:r>
        <w:rPr>
          <w:i/>
          <w:color w:val="516176"/>
        </w:rPr>
        <w:t>« Il y a le conseil régional. On va dire les collectivités qui prennent en compte ces aspects dans leur plan d'action pour doter le plus de localités de soins de santé. »</w:t>
      </w:r>
      <w:r>
        <w:rPr>
          <w:color w:val="94A3B8"/>
          <w:sz w:val="18"/>
        </w:rPr>
        <w:t xml:space="preserve">  — tchologo, 02 – Guide d'entretien local Tchologo (A</w:t>
      </w:r>
    </w:p>
    <w:p>
      <w:pPr>
        <w:ind w:left="480"/>
      </w:pPr>
      <w:r>
        <w:rPr>
          <w:i/>
          <w:color w:val="516176"/>
        </w:rPr>
        <w:t>« Il y a des services de sensibilisation qui sont recombis par les acteurs de santé. Il y a aussi une mobilisation communautaire. »</w:t>
      </w:r>
      <w:r>
        <w:rPr>
          <w:color w:val="94A3B8"/>
          <w:sz w:val="18"/>
        </w:rPr>
        <w:t xml:space="preserve">  — tchologo, 02 – Guide d'entretien local Tchologo (A</w:t>
      </w:r>
    </w:p>
    <w:p>
      <w:pPr>
        <w:ind w:left="480"/>
      </w:pPr>
      <w:r>
        <w:rPr>
          <w:i/>
          <w:color w:val="516176"/>
        </w:rPr>
        <w:t>« Nous avons mis en place des mécanismes communautaires constitués de relais, formés à la dénonciation et au signalement. »</w:t>
      </w:r>
      <w:r>
        <w:rPr>
          <w:color w:val="94A3B8"/>
          <w:sz w:val="18"/>
        </w:rPr>
        <w:t xml:space="preserve">  — tchologo, 04 – Guide d'entretien guichets protecti</w:t>
      </w:r>
    </w:p>
    <w:p>
      <w:pPr>
        <w:pStyle w:val="Heading2"/>
      </w:pPr>
      <w:r>
        <w:t>3.6 Acteurs, gouvernance du projet &amp; recommandations</w:t>
      </w:r>
    </w:p>
    <w:p>
      <w:pPr>
        <w:pStyle w:val="Heading3"/>
      </w:pPr>
      <w:r>
        <w:t>Collaboration existante entre acteurs (41 mentions, 28 entretiens)</w:t>
      </w:r>
    </w:p>
    <w:p>
      <w:r>
        <w:rPr>
          <w:b w:val="0"/>
          <w:i/>
        </w:rPr>
        <w:t>Partenaires, services techniques ou institutions avec lesquels une collaboration existe déjà.</w:t>
      </w:r>
    </w:p>
    <w:p>
      <w:pPr>
        <w:ind w:left="480"/>
      </w:pPr>
      <w:r>
        <w:rPr>
          <w:i/>
          <w:color w:val="516176"/>
        </w:rPr>
        <w:t>« Au niveau du Tchologo, il y a surtout les centralités, les directions régionales et tous les districts... avec aussi la SENAME... et au-delà il y a les organisations humanitaires. »</w:t>
      </w:r>
      <w:r>
        <w:rPr>
          <w:color w:val="94A3B8"/>
          <w:sz w:val="18"/>
        </w:rPr>
        <w:t xml:space="preserve">  — abidjan, 01 – Guide d'entretien national Abidjan </w:t>
      </w:r>
    </w:p>
    <w:p>
      <w:pPr>
        <w:ind w:left="480"/>
      </w:pPr>
      <w:r>
        <w:rPr>
          <w:i/>
          <w:color w:val="516176"/>
        </w:rPr>
        <w:t>« On a beaucoup travaillé avec l'OIT, on a travaillé par moment également avec la FAO. On a travaillé surtout avec les autorités administratives, coutumières, traditionnelles. »</w:t>
      </w:r>
      <w:r>
        <w:rPr>
          <w:color w:val="94A3B8"/>
          <w:sz w:val="18"/>
        </w:rPr>
        <w:t xml:space="preserve">  — abidjan, 01 – Guide d'entretien national Abidjan </w:t>
      </w:r>
    </w:p>
    <w:p>
      <w:pPr>
        <w:ind w:left="480"/>
      </w:pPr>
      <w:r>
        <w:rPr>
          <w:i/>
          <w:color w:val="516176"/>
        </w:rPr>
        <w:t>« Il y a des actions de sensibilisation à l'endroit des autorités coutumières... à la formation des membres, des groupements. »</w:t>
      </w:r>
      <w:r>
        <w:rPr>
          <w:color w:val="94A3B8"/>
          <w:sz w:val="18"/>
        </w:rPr>
        <w:t xml:space="preserve">  — tchologo, 02 – Guide d'entretien local Tchologo (A</w:t>
      </w:r>
    </w:p>
    <w:p>
      <w:pPr>
        <w:pStyle w:val="Heading3"/>
      </w:pPr>
      <w:r>
        <w:t>Acteurs à associer (67 mentions, 50 entretiens)</w:t>
      </w:r>
    </w:p>
    <w:p>
      <w:r>
        <w:rPr>
          <w:b w:val="0"/>
          <w:i/>
        </w:rPr>
        <w:t>Acteurs jugés indispensables à associer à la mise en œuvre des priorités du projet.</w:t>
      </w:r>
    </w:p>
    <w:p>
      <w:pPr>
        <w:ind w:left="480"/>
      </w:pPr>
      <w:r>
        <w:rPr>
          <w:i/>
          <w:color w:val="516176"/>
        </w:rPr>
        <w:t>« Je vais penser aux leaders communautaires, aux chefs religieux, ainsi qu'à la chambre nationale des chefs traditionnels. »</w:t>
      </w:r>
      <w:r>
        <w:rPr>
          <w:color w:val="94A3B8"/>
          <w:sz w:val="18"/>
        </w:rPr>
        <w:t xml:space="preserve">  — abidjan, 01 – Guide d'entretien national Abidjan </w:t>
      </w:r>
    </w:p>
    <w:p>
      <w:pPr>
        <w:ind w:left="480"/>
      </w:pPr>
      <w:r>
        <w:rPr>
          <w:i/>
          <w:color w:val="516176"/>
        </w:rPr>
        <w:t>« Des associations de femmes, des belles-mères, les chefs de village, les chefs de quartier, les responsables sanitaires doivent être impliqués. »</w:t>
      </w:r>
      <w:r>
        <w:rPr>
          <w:color w:val="94A3B8"/>
          <w:sz w:val="18"/>
        </w:rPr>
        <w:t xml:space="preserve">  — abidjan, 01 – Guide d'entretien national Abidjan </w:t>
      </w:r>
    </w:p>
    <w:p>
      <w:pPr>
        <w:ind w:left="480"/>
      </w:pPr>
      <w:r>
        <w:rPr>
          <w:i/>
          <w:color w:val="516176"/>
        </w:rPr>
        <w:t>« Le conseil régional, des maires, les guides communautaires... si on les associe, quand le projet finit, il peut prendre le relais. »</w:t>
      </w:r>
      <w:r>
        <w:rPr>
          <w:color w:val="94A3B8"/>
          <w:sz w:val="18"/>
        </w:rPr>
        <w:t xml:space="preserve">  — tchologo, 02 – Guide d'entretien local Tchologo (A</w:t>
      </w:r>
    </w:p>
    <w:p>
      <w:pPr>
        <w:pStyle w:val="Heading3"/>
      </w:pPr>
      <w:r>
        <w:t>Priorités et justification (68 mentions, 38 entretiens)</w:t>
      </w:r>
    </w:p>
    <w:p>
      <w:r>
        <w:rPr>
          <w:b w:val="0"/>
          <w:i/>
        </w:rPr>
        <w:t>Priorités identifiées par le répondant et raisons avancées pour les justifier.</w:t>
      </w:r>
    </w:p>
    <w:p>
      <w:pPr>
        <w:ind w:left="480"/>
      </w:pPr>
      <w:r>
        <w:rPr>
          <w:i/>
          <w:color w:val="516176"/>
        </w:rPr>
        <w:t>« C'est la seule priorité majeure... si nous n'avons pas de moyens pour aider les femmes, c'est difficile. »</w:t>
      </w:r>
      <w:r>
        <w:rPr>
          <w:color w:val="94A3B8"/>
          <w:sz w:val="18"/>
        </w:rPr>
        <w:t xml:space="preserve">  — tchologo, 02 – Guide d'entretien local Tchologo (A</w:t>
      </w:r>
    </w:p>
    <w:p>
      <w:pPr>
        <w:ind w:left="480"/>
      </w:pPr>
      <w:r>
        <w:rPr>
          <w:i/>
          <w:color w:val="516176"/>
        </w:rPr>
        <w:t>« Ça peut mettre véritablement aux femmes d'avoir une bonne accessibilité au soin. »</w:t>
      </w:r>
      <w:r>
        <w:rPr>
          <w:color w:val="94A3B8"/>
          <w:sz w:val="18"/>
        </w:rPr>
        <w:t xml:space="preserve">  — tchologo, 02 – Guide d'entretien local Tchologo (A</w:t>
      </w:r>
    </w:p>
    <w:p>
      <w:pPr>
        <w:ind w:left="480"/>
      </w:pPr>
      <w:r>
        <w:rPr>
          <w:i/>
          <w:color w:val="516176"/>
        </w:rPr>
        <w:t>« D'abord, nos locaux. Si on a pu avoir des locaux qui conviennent vraiment à un centre de santé, je pense qu'on pourra travailler sans problème. »</w:t>
      </w:r>
      <w:r>
        <w:rPr>
          <w:color w:val="94A3B8"/>
          <w:sz w:val="18"/>
        </w:rPr>
        <w:t xml:space="preserve">  — tchologo, 03 – Guide d'entretien prestataires sant</w:t>
      </w:r>
    </w:p>
    <w:p>
      <w:pPr>
        <w:pStyle w:val="Heading3"/>
      </w:pPr>
      <w:r>
        <w:t>Recommandations / suggestions (61 mentions, 44 entretiens)</w:t>
      </w:r>
    </w:p>
    <w:p>
      <w:r>
        <w:rPr>
          <w:b w:val="0"/>
          <w:i/>
        </w:rPr>
        <w:t>Recommandations ou suggestions générales formulées à l'intention du projet RESEAU-Femmes.</w:t>
      </w:r>
    </w:p>
    <w:p>
      <w:pPr>
        <w:ind w:left="480"/>
      </w:pPr>
      <w:r>
        <w:rPr>
          <w:i/>
          <w:color w:val="516176"/>
        </w:rPr>
        <w:t>« Il faut mettre l'accent davantage sur la publication, la sensibilisation, l'éducation... renforcer les mécanismes de protection qui existent. »</w:t>
      </w:r>
      <w:r>
        <w:rPr>
          <w:color w:val="94A3B8"/>
          <w:sz w:val="18"/>
        </w:rPr>
        <w:t xml:space="preserve">  — abidjan, 01 – Guide d'entretien national Abidjan </w:t>
      </w:r>
    </w:p>
    <w:p>
      <w:pPr>
        <w:ind w:left="480"/>
      </w:pPr>
      <w:r>
        <w:rPr>
          <w:i/>
          <w:color w:val="516176"/>
        </w:rPr>
        <w:t>« C'est une meilleure synergie d'action, une meilleure coordination des interventions. »</w:t>
      </w:r>
      <w:r>
        <w:rPr>
          <w:color w:val="94A3B8"/>
          <w:sz w:val="18"/>
        </w:rPr>
        <w:t xml:space="preserve">  — abidjan, 01 – Guide d'entretien national Abidjan </w:t>
      </w:r>
    </w:p>
    <w:p>
      <w:pPr>
        <w:ind w:left="480"/>
      </w:pPr>
      <w:r>
        <w:rPr>
          <w:i/>
          <w:color w:val="516176"/>
        </w:rPr>
        <w:t>« Laissez le temps à la partie nationale de prendre le relais avant de tout lâcher, surtout quand ça donne de bons résultats. »</w:t>
      </w:r>
      <w:r>
        <w:rPr>
          <w:color w:val="94A3B8"/>
          <w:sz w:val="18"/>
        </w:rPr>
        <w:t xml:space="preserve">  — abidjan, 01 – Guide d'entretien national Abidjan </w:t>
      </w:r>
    </w:p>
    <w:p>
      <w:pPr>
        <w:pStyle w:val="Heading3"/>
      </w:pPr>
      <w:r>
        <w:t>Rôle des hommes / leaders comme leviers (35 mentions, 25 entretiens)</w:t>
      </w:r>
    </w:p>
    <w:p>
      <w:r>
        <w:rPr>
          <w:b w:val="0"/>
          <w:i/>
        </w:rPr>
        <w:t>Rôle que les hommes, leaders communautaires, religieux ou traditionnels peuvent jouer pour faire évoluer la situation.</w:t>
      </w:r>
    </w:p>
    <w:p>
      <w:pPr>
        <w:ind w:left="480"/>
      </w:pPr>
      <w:r>
        <w:rPr>
          <w:i/>
          <w:color w:val="516176"/>
        </w:rPr>
        <w:t>« Les chefs traditionnels sont une institution importante qui peut aider à faire évoluer ces différents biais entre hommes et femmes. »</w:t>
      </w:r>
      <w:r>
        <w:rPr>
          <w:color w:val="94A3B8"/>
          <w:sz w:val="18"/>
        </w:rPr>
        <w:t xml:space="preserve">  — abidjan, 01 – Guide d'entretien national Abidjan </w:t>
      </w:r>
    </w:p>
    <w:p>
      <w:pPr>
        <w:ind w:left="480"/>
      </w:pPr>
      <w:r>
        <w:rPr>
          <w:i/>
          <w:color w:val="516176"/>
        </w:rPr>
        <w:t>« Quand le leader, si tu n'as pas la valeur du leader avec toi... si tu veux voir le préfet, si tu veux voir le chef, tu ne les as pas touchés. »</w:t>
      </w:r>
      <w:r>
        <w:rPr>
          <w:color w:val="94A3B8"/>
          <w:sz w:val="18"/>
        </w:rPr>
        <w:t xml:space="preserve">  — abidjan, 01 – Guide d'entretien national Abidjan </w:t>
      </w:r>
    </w:p>
    <w:p>
      <w:pPr>
        <w:ind w:left="480"/>
      </w:pPr>
      <w:r>
        <w:rPr>
          <w:i/>
          <w:color w:val="516176"/>
        </w:rPr>
        <w:t>« Il faut que les hommes soient parties prenantes pour les femmes... il faut que les chefs et les villages en amont soient sensibilisés. »</w:t>
      </w:r>
      <w:r>
        <w:rPr>
          <w:color w:val="94A3B8"/>
          <w:sz w:val="18"/>
        </w:rPr>
        <w:t xml:space="preserve">  — tchologo, 02 – Guide d'entretien local Tchologo (A</w:t>
      </w:r>
    </w:p>
    <w:p>
      <w:r>
        <w:br w:type="page"/>
      </w:r>
    </w:p>
    <w:p>
      <w:pPr>
        <w:pStyle w:val="Heading1"/>
      </w:pPr>
      <w:r>
        <w:t>4. Synthèses par guide d'entretien</w:t>
      </w:r>
    </w:p>
    <w:p>
      <w:pPr>
        <w:pStyle w:val="Heading2"/>
      </w:pPr>
      <w:r>
        <w:t>01 – Guide d'entretien national Abidjan (Acteurs institutionnels nationaux (directions générales, directions centrales, programmes nationaux, autres structures nationales, etc.))</w:t>
      </w:r>
    </w:p>
    <w:p>
      <w:r>
        <w:rPr>
          <w:b w:val="0"/>
          <w:i w:val="0"/>
        </w:rPr>
        <w:t>Ce guide rassemble les réponses d'acteurs institutionnels nationaux basés à Abidjan (ministères de la Femme, de la Santé, de l'Emploi/Protection sociale, CNPS, CNAM, PNSME, filets sociaux). Le thème le plus saillant est de loin la CMU et la protection sociale (B2), abordé sous l'angle des obstacles à son extension aux secteurs agricole et informel : mécanismes de cotisation inadaptés aux revenus saisonniers, prise en charge des planteurs de café-cacao par les conseils de régulation, méconnaissance du dispositif et problèmes de remboursement effectif dans les structures de santé. Vient ensuite la collaboration institutionnelle existante et les recommandations de coordination (F1/F4), les répondants insistant sur le cloisonnement des interventions ministérielles et la nécessité d'une synergie d'action plutôt que d'un travail en silo. Le contrôle masculin des ressources et des décisions (C2), la répartition genrée des tâches domestiques non rémunérées (C3) et l'identification de groupes de femmes vulnérables (D1 : veuves, femmes abandonnées, non scolarisées, en milieu rural) reviennent aussi fréquemment, de même que le rôle des chefs traditionnels et religieux comme leviers de changement (F5) et les mécanismes de plainte existants (numéro vert, plateformes juridiques, comités locaux villageois — C5). Une spécificité de ce guide national est la récurrence, notamment chez les répondants du ministère en charge des filets sociaux, du problème de l'absence de pièces d'état civil comme obstacle transversal non couvert précisément par un code du référentiel. Les questions sur le changement climatique (A5) obtiennent des réponses institutionnelles assez génériques (plans nationaux d'adaptation, gestion de l'eau par forages), tandis que les questions administratives sur la disponibilité de documents ont parfois été codées hors-sujet administratif faute de contenu thématique. Enfin, une petite proportion des réponses (environ 4%, soit 6 réponses sur 141) est restée trop dégradée par la transcription automatique pour être codée avec confiance, ces cas étant concentrés sur des réponses très courtes ou très répétitives (bégaiements de la transcription automatique).</w:t>
      </w:r>
    </w:p>
    <w:p>
      <w:pPr>
        <w:pStyle w:val="Heading2"/>
      </w:pPr>
      <w:r>
        <w:t>02 – Guide d'entretien local Tchologo (Autorités régionales, collectivités et leaders locaux (préfectures, sous-préfectures, conseil régional, mairies, directions régionales, directions départementales, autres services déconcentrés, responsables communautaires, etc.))</w:t>
      </w:r>
    </w:p>
    <w:p>
      <w:r>
        <w:rPr>
          <w:b w:val="0"/>
          <w:i w:val="0"/>
        </w:rPr>
        <w:t>Dans ce guide destiné aux autorités régionales et locales du Tchologo, les réponses convergent fortement autour du contrôle masculin des décisions (C2) et de la faible participation effective des femmes aux instances de gouvernance (C1), deux thèmes cités dans la quasi-totalité des institutions interrogées, souvent en écho l'un à l'autre ("c'est le mari qui décide"). Les mécanismes de plainte (C5) constituent le code le plus fréquent : de nombreux répondants décrivent des dispositifs existants (numéros verts, comités de gestion des plaintes, plateformes VBG, boîtes à suggestion) mais soulignent leur méconnaissance par les populations et leur faible utilisation effective. Sur le plan économique, l'accès au foncier (A1), au financement (A2) et l'adaptation au changement climatique (A5, notamment l'irrigation et la gestion de l'eau pour le maraîchage) reviennent systématiquement comme obstacles structurants à l'autonomisation des femmes, avec des nuances régionales autour de Wangolo et Ouangolodougou où l'enclavement (D2) et le manque d'infrastructures hydrauliques sont particulièrement marqués. La CMU et la protection sociale (B2) apparaissent comme un sujet à la fois connu et mal maîtrisé : l'enrôlement progresse mais la cotisation régulière, incompatible avec des revenus agricoles saisonniers, limite l'usage réel de la carte. Le mariage précoce et la déscolarisation des filles (D4) ainsi que les groupes vulnérables (D1, veuves, réfugiés, personnes en situation de handicap) sont fréquemment mentionnés, notamment dans les institutions de santé et de protection sociale. Environ 15% des réponses de ce guide ont été jugées trop dégradées par la transcription automatique (mots inintelligibles, répétitions incohérentes, voire artefacts évidents comme des sous-titres YouTube hallucinés) pour être codées avec confiance, un taux notable qui reflète la difficulté du dialecte local et la longueur souvent digressive des entretiens semi-structurés menés en groupe.</w:t>
      </w:r>
    </w:p>
    <w:p>
      <w:pPr>
        <w:pStyle w:val="Heading2"/>
      </w:pPr>
      <w:r>
        <w:t>03 – Guide d'entretien prestataires santé (Responsables et prestataires de santé)</w:t>
      </w:r>
    </w:p>
    <w:p>
      <w:r>
        <w:rPr>
          <w:b w:val="0"/>
          <w:i w:val="0"/>
        </w:rPr>
        <w:t>Dans ce guide destiné aux prestataires et responsables de santé de la région de Tchologo, les thèmes dominants sont le manque de moyens et de renforcement des capacités (personnel, plateau technique, ambulances, locaux, formation continue), les mécanismes de plainte/retour des usagers (boîtes à suggestions, fiches de couleur, comités de doléances) et les priorités/recommandations pour améliorer l'offre de services, qui reviennent dans la quasi-totalité des entretiens. Les barrières d'accès aux soins (coût, distance, transport, mauvais accueil, autorisation maritale) et la santé des adolescentes (confidentialité, pudeur, stigmatisation liée à la contraception) sont également très présentes, de même que les violences basées sur le genre, pour lesquelles les prestataires décrivent des mécanismes d'orientation vers le service social mais déplorent un maillon judiciaire fragile (réticence des familles et de la police à collaborer, coût des certificats médicaux). La gouvernance des structures montre une participation féminine très inégale selon les établissements (certains comités de gestion sans aucune femme, d'autres majoritairement féminins), et le contrôle masculin sur les décisions de santé des femmes (autorisation du mari ou du chef de famille avant une consultation) ressort de façon récurrente, en particulier en zone rurale. La CMU/SEMU occupe une place importante dans les réponses à la question sur les services disponibles, avec des difficultés d'enrôlement et de mise à jour des cotisations souvent attribuées aux problèmes de réseau/connexion plutôt qu'au dispositif lui-même. Enfin, une proportion notable des réponses (environ 5%) est trop dégradée par la transcription automatique (mots incompréhensibles, boucles de répétition sans queue ni tête) pour être codée de façon fiable et a été marquée X1_transcription_difficile, sans que cela remette en cause la lisibilité globale du corpus.</w:t>
      </w:r>
    </w:p>
    <w:p>
      <w:pPr>
        <w:pStyle w:val="Heading2"/>
      </w:pPr>
      <w:r>
        <w:t>04 – Guide d'entretien guichets protection sociale (Responsables des guichets de protection sociale)</w:t>
      </w:r>
    </w:p>
    <w:p>
      <w:r>
        <w:rPr>
          <w:b w:val="0"/>
          <w:i w:val="0"/>
        </w:rPr>
        <w:t>Les trois entretiens menés auprès de responsables de centres sociaux/guichets de protection sociale de la région du Tchologo convergent fortement autour des violences basées sur le genre (VBG), qui constituent le motif de fréquentation le plus cité, suivies des difficultés d'accès à la Couverture Maladie Universelle et aux mécanismes de protection sociale (pièces administratives manquantes, procédures de création de compte, faible taux d'utilisateurs disposant de documents d'identité). Le contrôle masculin des ressources et des décisions du ménage revient comme facteur structurant («la femme c'est ma propriété», gestion de l'argent par le mari) et se combine à des zones d'intervention très vastes et enclavées, difficiles à couvrir avec un seul agent social ou un seul véhicule. Le renforcement des capacités opérationnelles (moyens de locomotion, matériel, personnel) et l'accès des femmes au financement (activités génératrices de revenus, tontines, fonds d'appui) ressortent comme les recommandations les plus fréquentes, les répondants insistant sur l'autonomisation économique comme levier pour réduire la dépendance et la vulnérabilité aux violences. Les mécanismes de plainte existants privilégient largement la médiation communautaire ou le bureau d'écoute plutôt que la voie judiciaire, jugée risquée pour la cohésion sociale. Une nuance institutionnelle notable : le deuxième répondant (entretien du 16/09, Yrébé Roland) et le troisième (Kla Jaurès) insistent davantage sur l'autonomisation financière individuelle des femmes (AGR, tontines) que le premier répondant, plus centré sur les procédures et le cadre légal de prise en charge des cas de VBG. Enfin, une part significative des réponses (7 réponses sur 59, soit environ 12%) était trop dégradée par la transcription automatique pour être codée de façon fiable, notamment sur les questions relatives aux horaires/paiements et aux obstacles d'accès, où le texte devenait répétitif ou incohérent.</w:t>
      </w:r>
    </w:p>
    <w:p>
      <w:pPr>
        <w:pStyle w:val="Heading2"/>
      </w:pPr>
      <w:r>
        <w:t>05 – Guide d'entretien organisations et coopératives (Organisations et coopératives (féminines et masculines) du secteur agricole et informel)</w:t>
      </w:r>
    </w:p>
    <w:p>
      <w:r>
        <w:rPr>
          <w:b w:val="0"/>
          <w:i w:val="0"/>
        </w:rPr>
        <w:t>Les 164 réponses de ce guide, recueillies auprès de huit organisations et coopératives (agricoles ou du secteur informel : karité, riz/piment/tomate, transformation manioc, coiffure, BTP/métiers) toutes situées dans la région du Tchologo, dessinent un paysage dominé par les besoins matériels et organisationnels plutôt que par des enjeux de genre explicites. Les codes les plus fréquents sont E1_renforcement_capacites et A2_acces_financement (22 occurrences chacun), reflétant une demande quasi-systématique de formation (comptabilité, alphabétisation, gestion, numérique) et de financement/équipement (intrants, machines, moulins, matériel de coiffure). Le changement climatique (A5, 18 occurrences) et la connaissance/adhésion à la CMU (B2, 17 occurrences) apparaissent aussi comme des thèmes récurrents et bien documentés, avec des expériences concrètes et contrastées (carte CMU utilisée avec succès pour un accouchement chez les coiffeuses, mais taux d'enrôlement très faible et accès limité au village signalés par l'organisation la plus digitalisée). L'accès au foncier (A1, 13) révèle une sécurisation généralement précaire et informelle (accord oral du chef de terre, absence de titre), avec un cas explicite de discrimination successorale envers les femmes. Les groupes vulnérables identifiés (D1, 7) incluent veuves, personnes handicapées, albinos et adolescentes, tandis que les questions de gouvernance interne (transparence financière, tenue de comptes) ont été rattachées par extension au code C5_mecanismes_plainte faute de code dédié dans le référentiel. Environ 12% des réponses (20 sur 164) ont été jugées trop dégradées linguistiquement pour être codées de façon fiable (X1), la coopérative manioc/attiéké (b39d046d) étant particulièrement touchée avec plus de la moitié de ses réponses illisibles ; quelques réponses supplémentaires étaient purement administratives ou des remerciements (X2, 6 occurrences).</w:t>
      </w:r>
    </w:p>
    <w:p>
      <w:pPr>
        <w:pStyle w:val="Heading2"/>
      </w:pPr>
      <w:r>
        <w:t>06 – Guide d'entretien OSC plaidoyer (OSC, organisations de femmes et acteurs de plaidoyer)</w:t>
      </w:r>
    </w:p>
    <w:p>
      <w:r>
        <w:rPr>
          <w:b w:val="0"/>
          <w:i w:val="0"/>
        </w:rPr>
        <w:t>Ce guide OSC de plaidoyer, basé sur une unique soumission collective (Tchologo), est dominé par deux grands ensembles thématiques : les mécanismes traditionnels de règlement des conflits et de plainte (C5_mecanismes_plainte, code le plus fréquent), portés par les comités de notables et les chefs de village, qui servent aussi bien à traiter les VBG (B4_vbg) qu'à gérer les différends fonciers ; et l'accès au foncier des femmes (A1_acces_foncier), menacé par la reprise des bas-fonds rizicoles par les « chefs de terre » et par un conflit de longue date sur les limites entre villages voisins, non résolu malgré l'implication du sous-préfet. Les besoins en financement/équipement (A2_acces_financement, motoculteur, caisses de groupe) et en adaptation climatique (A5_climat_adaptation, pluies irrégulières) apparaissent comme priorités de plaidoyer récurrentes, tout comme le rôle de partenaires externes à associer (maires, députés, préfet — F2_acteurs_a_associer). Les réponses restent très ancrées dans la gouvernance villageoise coutumière plutôt que dans les dispositifs institutionnels formels (CMU, services de santé), qui n'apparaissent quasiment pas dans ce guide. Une seule réponse (5%) a été jugée trop dégradée pour être codée avec confiance (X1_transcription_difficile, réponse incohérente sur les résistances au changement), et une autre réponse (5%) a été classée hors-sujet administratif car dépourvue de contenu thématique exploitable. Un thème récurrent mais mal couvert par le codebook actuel est le conflit foncier intercommunautaire (litiges de frontières entre villages, vente de terres à des étrangers), distinct de la question spécifique de l'accès des femmes au foncier.</w:t>
      </w:r>
    </w:p>
    <w:p>
      <w:pPr>
        <w:pStyle w:val="Heading2"/>
      </w:pPr>
      <w:r>
        <w:t>07 – Guide d'entretien leaders communautaires (Leaders communautaires, religieux et traditionnels (y compris focus groups femmes/hommes/adolescentes))</w:t>
      </w:r>
    </w:p>
    <w:p>
      <w:r>
        <w:rPr>
          <w:b w:val="0"/>
          <w:i w:val="0"/>
        </w:rPr>
        <w:t>Ce guide, mené auprès de leaders communautaires/religieux/traditionnels et de focus groups mixtes dans la région du Tchologo, révèle une répartition genrée des tâches encore très marquée (C3, 9 occurrences) et surtout une centralité du contrôle masculin sur les ressources et les décisions du ménage (C2, 16 occurrences) — dépenses, santé, autorisation implicite ou explicite du mari — qui domine largement l'ensemble des codes. Un thème fort et récurrent est la résistance au changement (C6, 8 occurrences) : plusieurs focus groups masculins décrivent explicitement l'autonomisation économique des femmes comme une source de tension conjugale, de perte de respect perçue, voire de séparation ou de violence (B4), notamment dans les groupes animés par Kla Jaurès où les hommes s'expriment avec une franchise inhabituelle sur ce sujet. L'accès au foncier (A1) reste contraint par les conflits agriculteurs-éleveurs et par le refus des conjoints de céder des parts de terre aux femmes, tandis que l'accès à la CMU (B2) et aux soins (B1) est freiné par le coût des cotisations, l'accueil dans les centres de santé et le manque de sensibilisation (E2), un besoin cité dans plusieurs groupes comme condition de changement. Les recommandations convergent vers l'implication des cadres/autorités locales et de l'État (F2) et vers un besoin de financement et de formation (A2, E1) pour les femmes et les jeunes. Une proportion importante des réponses — près d'un tiers (31 %, 26 réponses sur 84) — a été jugée trop dégradée par la transcription automatique pour être codée avec confiance, en particulier dans les groupes animés par Levi et Yrébé Roland, où de nombreux passages sont quasi incompréhensibles (mots inventés comme 'sémifonction' ou 'gavou'), alors que les groupes de Kla et Kla Jaurès offrent des transcriptions nettement plus exploitables.</w:t>
      </w:r>
    </w:p>
    <w:p>
      <w:r>
        <w:br w:type="page"/>
      </w:r>
    </w:p>
    <w:p>
      <w:pPr>
        <w:pStyle w:val="Heading1"/>
      </w:pPr>
      <w:r>
        <w:t>5. Thèmes émergents non systématiquement codés</w:t>
      </w:r>
    </w:p>
    <w:p>
      <w:r>
        <w:rPr>
          <w:b w:val="0"/>
          <w:i w:val="0"/>
        </w:rPr>
        <w:t>Au fil du codage, plusieurs thèmes récurrents sont apparus sans correspondre précisément à un code existant de la grille. Ils n'ont pas été comptabilisés systématiquement (et n'apparaissent donc pas dans les statistiques ci-dessus) mais méritent d'être signalés comme pistes pour affiner le codebook lors d'une prochaine itération :</w:t>
      </w:r>
    </w:p>
    <w:p>
      <w:pPr>
        <w:pStyle w:val="ListBullet"/>
      </w:pPr>
      <w:r>
        <w:t>Absence de pièces d'état civil / documents administratifs (acte de naissance, CNI) comme frein transversal à l'accès à la CMU, à la santé et à d'autres droits, distinct des barrières d'accès aux soins ou des droits non respectés au sens large. (01 – Guide d'entretien national Abi)</w:t>
      </w:r>
    </w:p>
    <w:p>
      <w:pPr>
        <w:pStyle w:val="ListBullet"/>
      </w:pPr>
      <w:r>
        <w:t>Contenu des programmes de santé maternelle et néonatale (CPN, accouchement assisté, réduction de la mortalité maternelle/infantile) — bien présent dans ce guide institutionnel mais mal capté par les codes existants, centrés sur les barrières d'accès plutôt que sur le contenu programmatique lui-même. (01 – Guide d'entretien national Abi)</w:t>
      </w:r>
    </w:p>
    <w:p>
      <w:pPr>
        <w:pStyle w:val="ListBullet"/>
      </w:pPr>
      <w:r>
        <w:t>Accès à l'eau potable / hydraulique villageoise comme besoin distinct des femmes (au-delà de l'irrigation liée au climat) : forages, pompes à motricité humaine, château d'eau, revendiqué à de très nombreuses reprises indépendamment des questions foncières ou climatiques. (02 – Guide d'entretien local Tcholo)</w:t>
      </w:r>
    </w:p>
    <w:p>
      <w:pPr>
        <w:pStyle w:val="ListBullet"/>
      </w:pPr>
      <w:r>
        <w:t>Insécurité alimentaire / disponibilité de nourriture suffisante pour le ménage, évoquée comme problème social distinct de l'accès au marché ou à la production agricole. (02 – Guide d'entretien local Tcholo)</w:t>
      </w:r>
    </w:p>
    <w:p>
      <w:pPr>
        <w:pStyle w:val="ListBullet"/>
      </w:pPr>
      <w:r>
        <w:t>Présence de réfugiés et de personnes déplacées (zone frontalière avec le Burkina Faso) comme facteur de pression sur les ressources (terre, eau, services sociaux) et groupe vulnérable spécifique, plus large qu'un simple sous-cas de D1. (02 – Guide d'entretien local Tcholo)</w:t>
      </w:r>
    </w:p>
    <w:p>
      <w:pPr>
        <w:pStyle w:val="ListBullet"/>
      </w:pPr>
      <w:r>
        <w:t>Ruptures fréquentes d'approvisionnement en médicaments/intrants et pannes de connexion internet/réseau empêchant l'enrôlement ou la validation des cartes CMU (au-delà des barrières d'accès classiques déjà couvertes par B1/B2) — un frein opérationnel technique récurrent, distinct des barrières sociales, cité dans la quasi-totalité des structures. (03 – Guide d'entretien prestataires)</w:t>
      </w:r>
    </w:p>
    <w:p>
      <w:pPr>
        <w:pStyle w:val="ListBullet"/>
      </w:pPr>
      <w:r>
        <w:t>Manque d'infrastructures physiques de base (bâtiments/salles dédiées, électricité, clôture, salle de garde) évoqué comme condition préalable au fonctionnement des services, plus large qu'un simple besoin de formation (E1 est centré sur les capacités humaines/techniques). (03 – Guide d'entretien prestataires)</w:t>
      </w:r>
    </w:p>
    <w:p>
      <w:pPr>
        <w:pStyle w:val="ListBullet"/>
      </w:pPr>
      <w:r>
        <w:t>Autonomie financière et logistique propre des guichets/centres sociaux eux-mêmes (dépendance totale au ministère ou aux projets, absence de budget propre, un seul véhicule pour toute une zone) — distincte du renforcement de capacités individuelles ou de l'accès au financement des femmes. (04 – Guide d'entretien guichets pro)</w:t>
      </w:r>
    </w:p>
    <w:p>
      <w:pPr>
        <w:pStyle w:val="ListBullet"/>
      </w:pPr>
      <w:r>
        <w:t>Détournement ou non-redistribution des transferts monétaires par un tiers/intermédiaire (mari, proche) qui perçoit l'argent au nom du bénéficiaire visé sans le lui reverser. (04 – Guide d'entretien guichets pro)</w:t>
      </w:r>
    </w:p>
    <w:p>
      <w:pPr>
        <w:pStyle w:val="ListBullet"/>
      </w:pPr>
      <w:r>
        <w:t>Gouvernance financière interne des groupements (comptabilité, comptes bancaires, comptables, partage transparent des revenus) : traité de façon approximative via C5_mecanismes_plainte car le codebook ne prévoit pas de code dédié à la reddition de comptes financière interne d'une coopérative (distinct des mécanismes de plainte communautaires). (05 – Guide d'entretien organisation)</w:t>
      </w:r>
    </w:p>
    <w:p>
      <w:pPr>
        <w:pStyle w:val="ListBullet"/>
      </w:pPr>
      <w:r>
        <w:t>Besoin de local/espace physique pour les réunions et le stockage des associations (mentionné dans plusieurs organisations, ex. coiffeuses, karité) : pas de code dédié infrastructure/local associatif dans le codebook. (05 – Guide d'entretien organisation)</w:t>
      </w:r>
    </w:p>
    <w:p>
      <w:pPr>
        <w:pStyle w:val="ListBullet"/>
      </w:pPr>
      <w:r>
        <w:t>Conflit foncier intercommunautaire entre villages voisins (litiges de frontières, vente de terres à des ressortissants étrangers, escalade jusqu'aux chefs de canton et au préfet) : thème très récurrent dans ce guide mais qui porte sur une rivalité territoriale entre communautés plutôt que sur l'accès des femmes au foncier proprement dit ; A1_acces_foncier ne couvre que partiellement cette dimension de gouvernance/conflit intervillageois. (06 – Guide d'entretien OSC plaidoye)</w:t>
      </w:r>
    </w:p>
    <w:p>
      <w:pPr>
        <w:pStyle w:val="ListBullet"/>
      </w:pPr>
      <w:r>
        <w:t>Changements positifs / autonomisation économique et sociale récente des femmes (indépendance financière, femmes 'battantes', engagement accru) évoqués de façon purement positive, sans risque de tension associé — thème récurrent à la question 10 du guide, non couvert par un code dédié. (07 – Guide d'entretien leaders comm)</w:t>
      </w:r>
    </w:p>
    <w:p>
      <w:pPr>
        <w:pStyle w:val="ListBullet"/>
      </w:pPr>
      <w:r>
        <w:t>Accès à l'eau potable et aux infrastructures hydrauliques (châteaux d'eau, forages en panne) comme préoccupation communautaire, distincte de l'adaptation au changement climatique. (07 – Guide d'entretien leaders comm)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